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160" w:line="360" w:lineRule="auto"/>
        <w:jc w:val="both"/>
        <w:rPr>
          <w:sz w:val="27"/>
          <w:szCs w:val="27"/>
        </w:rPr>
      </w:pPr>
      <w:r w:rsidDel="00000000" w:rsidR="00000000" w:rsidRPr="00000000">
        <w:rPr>
          <w:sz w:val="27"/>
          <w:szCs w:val="27"/>
          <w:rtl w:val="0"/>
        </w:rPr>
        <w:t xml:space="preserve">Tài liệu: Chiến lược trung hoà carbon của ASEAN</w:t>
      </w:r>
    </w:p>
    <w:p w:rsidR="00000000" w:rsidDel="00000000" w:rsidP="00000000" w:rsidRDefault="00000000" w:rsidRPr="00000000" w14:paraId="00000002">
      <w:pPr>
        <w:shd w:fill="ffffff" w:val="clear"/>
        <w:spacing w:after="160" w:line="360" w:lineRule="auto"/>
        <w:jc w:val="both"/>
        <w:rPr>
          <w:sz w:val="27"/>
          <w:szCs w:val="27"/>
        </w:rPr>
      </w:pPr>
      <w:r w:rsidDel="00000000" w:rsidR="00000000" w:rsidRPr="00000000">
        <w:rPr>
          <w:sz w:val="27"/>
          <w:szCs w:val="27"/>
          <w:rtl w:val="0"/>
        </w:rPr>
        <w:t xml:space="preserve">Thời gian: 07/2023</w:t>
      </w:r>
    </w:p>
    <w:p w:rsidR="00000000" w:rsidDel="00000000" w:rsidP="00000000" w:rsidRDefault="00000000" w:rsidRPr="00000000" w14:paraId="00000003">
      <w:pPr>
        <w:shd w:fill="ffffff" w:val="clear"/>
        <w:spacing w:after="160" w:line="360" w:lineRule="auto"/>
        <w:jc w:val="both"/>
        <w:rPr>
          <w:sz w:val="27"/>
          <w:szCs w:val="27"/>
        </w:rPr>
      </w:pPr>
      <w:r w:rsidDel="00000000" w:rsidR="00000000" w:rsidRPr="00000000">
        <w:rPr>
          <w:sz w:val="27"/>
          <w:szCs w:val="27"/>
          <w:rtl w:val="0"/>
        </w:rPr>
        <w:t xml:space="preserve">Đơn vị thực hiện: Nhóm Tư vấn Boston (Chính phủ Australia hỗ trợ thông qua sáng kiến Australia vì Tương lai ASEAN)</w:t>
      </w:r>
    </w:p>
    <w:p w:rsidR="00000000" w:rsidDel="00000000" w:rsidP="00000000" w:rsidRDefault="00000000" w:rsidRPr="00000000" w14:paraId="00000004">
      <w:pPr>
        <w:shd w:fill="ffffff" w:val="clear"/>
        <w:spacing w:after="160" w:line="360" w:lineRule="auto"/>
        <w:jc w:val="both"/>
        <w:rPr>
          <w:sz w:val="27"/>
          <w:szCs w:val="27"/>
        </w:rPr>
      </w:pPr>
      <w:r w:rsidDel="00000000" w:rsidR="00000000" w:rsidRPr="00000000">
        <w:rPr>
          <w:sz w:val="27"/>
          <w:szCs w:val="27"/>
          <w:rtl w:val="0"/>
        </w:rPr>
        <w:t xml:space="preserve">Đơn vị dịch thuật: Vụ Chính sách thương mại đa biên, Bộ Công Thương</w:t>
      </w:r>
    </w:p>
    <w:p w:rsidR="00000000" w:rsidDel="00000000" w:rsidP="00000000" w:rsidRDefault="00000000" w:rsidRPr="00000000" w14:paraId="00000005">
      <w:pPr>
        <w:shd w:fill="ffffff" w:val="clear"/>
        <w:spacing w:after="160" w:line="360" w:lineRule="auto"/>
        <w:jc w:val="both"/>
        <w:rPr>
          <w:sz w:val="27"/>
          <w:szCs w:val="27"/>
        </w:rPr>
      </w:pPr>
      <w:r w:rsidDel="00000000" w:rsidR="00000000" w:rsidRPr="00000000">
        <w:rPr>
          <w:sz w:val="27"/>
          <w:szCs w:val="27"/>
          <w:rtl w:val="0"/>
        </w:rPr>
        <w:t xml:space="preserve">Tháng 07/2023, Nhóm Tư vấn Boston (BCG) đã công bố tài liệu "Chiến lược trung hoà carbon của ASEAN" nhằm thúc đẩy quá trình chuyển đổi sang nền kinh tế xanh của ASEAN, đồng thời tạo điều kiện cho sự tăng trưởng bền vững và nâng cao năng lực cạnh tranh thương mại cho tất cả các quốc gia thành viên ASEAN.</w:t>
      </w:r>
    </w:p>
    <w:p w:rsidR="00000000" w:rsidDel="00000000" w:rsidP="00000000" w:rsidRDefault="00000000" w:rsidRPr="00000000" w14:paraId="00000006">
      <w:pPr>
        <w:shd w:fill="ffffff" w:val="clear"/>
        <w:spacing w:after="160" w:line="360" w:lineRule="auto"/>
        <w:jc w:val="both"/>
        <w:rPr>
          <w:sz w:val="27"/>
          <w:szCs w:val="27"/>
        </w:rPr>
      </w:pPr>
      <w:r w:rsidDel="00000000" w:rsidR="00000000" w:rsidRPr="00000000">
        <w:rPr>
          <w:sz w:val="27"/>
          <w:szCs w:val="27"/>
          <w:rtl w:val="0"/>
        </w:rPr>
        <w:t xml:space="preserve">Tận dụng các kết quả đạt được của ASEAN và kinh nghiệm rút ra từ thực tiễn triển khai trên thế giới, tài liệu này đã được hoàn thiện thông qua các cuộc tham vấn kỹ lưỡng với các bên liên quan như Ban Thư ký ASEAN, các cơ quan chuyên môn của ASEAN, cơ quan đầu mối của các quốc gia thành viên ASEAN, các tổ chức toàn cầu, khu vực tư nhân, chuyên gia BCG.. để từ đó cung cấp một lộ trình toàn diện với các sáng kiến chủ chốt để giúp ASEAN đạt được mục tiêu trung hòa carbon.</w:t>
      </w:r>
    </w:p>
    <w:p w:rsidR="00000000" w:rsidDel="00000000" w:rsidP="00000000" w:rsidRDefault="00000000" w:rsidRPr="00000000" w14:paraId="00000007">
      <w:pPr>
        <w:shd w:fill="ffffff" w:val="clear"/>
        <w:spacing w:after="160" w:line="360" w:lineRule="auto"/>
        <w:jc w:val="both"/>
        <w:rPr>
          <w:rFonts w:ascii="Roboto" w:cs="Roboto" w:eastAsia="Roboto" w:hAnsi="Roboto"/>
          <w:i w:val="1"/>
          <w:color w:val="1155cc"/>
          <w:sz w:val="27"/>
          <w:szCs w:val="27"/>
          <w:u w:val="single"/>
        </w:rPr>
      </w:pPr>
      <w:hyperlink r:id="rId6">
        <w:r w:rsidDel="00000000" w:rsidR="00000000" w:rsidRPr="00000000">
          <w:rPr>
            <w:rFonts w:ascii="Roboto" w:cs="Roboto" w:eastAsia="Roboto" w:hAnsi="Roboto"/>
            <w:i w:val="1"/>
            <w:color w:val="1155cc"/>
            <w:sz w:val="27"/>
            <w:szCs w:val="27"/>
            <w:u w:val="single"/>
            <w:rtl w:val="0"/>
          </w:rPr>
          <w:t xml:space="preserve">Bản mềm Tài liệu (Tiếng Anh+Tiếng Việt) được đính kèm tại đây</w:t>
        </w:r>
      </w:hyperlink>
      <w:r w:rsidDel="00000000" w:rsidR="00000000" w:rsidRPr="00000000">
        <w:rPr>
          <w:rtl w:val="0"/>
        </w:rPr>
      </w:r>
    </w:p>
    <w:p w:rsidR="00000000" w:rsidDel="00000000" w:rsidP="00000000" w:rsidRDefault="00000000" w:rsidRPr="00000000" w14:paraId="00000008">
      <w:pPr>
        <w:shd w:fill="ffffff" w:val="clear"/>
        <w:spacing w:after="160" w:line="360" w:lineRule="auto"/>
        <w:jc w:val="both"/>
        <w:rPr>
          <w:rFonts w:ascii="Roboto" w:cs="Roboto" w:eastAsia="Roboto" w:hAnsi="Roboto"/>
          <w:i w:val="1"/>
          <w:color w:val="1155cc"/>
          <w:sz w:val="27"/>
          <w:szCs w:val="27"/>
          <w:u w:val="single"/>
        </w:rPr>
      </w:pPr>
      <w:r w:rsidDel="00000000" w:rsidR="00000000" w:rsidRPr="00000000">
        <w:rPr>
          <w:rtl w:val="0"/>
        </w:rPr>
      </w:r>
    </w:p>
    <w:p w:rsidR="00000000" w:rsidDel="00000000" w:rsidP="00000000" w:rsidRDefault="00000000" w:rsidRPr="00000000" w14:paraId="00000009">
      <w:pPr>
        <w:shd w:fill="ffffff" w:val="clear"/>
        <w:spacing w:after="160" w:line="360" w:lineRule="auto"/>
        <w:jc w:val="both"/>
        <w:rPr>
          <w:rFonts w:ascii="Roboto" w:cs="Roboto" w:eastAsia="Roboto" w:hAnsi="Roboto"/>
          <w:i w:val="1"/>
          <w:color w:val="1155cc"/>
          <w:sz w:val="27"/>
          <w:szCs w:val="27"/>
          <w:u w:val="single"/>
        </w:rPr>
      </w:pPr>
      <w:r w:rsidDel="00000000" w:rsidR="00000000" w:rsidRPr="00000000">
        <w:rPr>
          <w:rFonts w:ascii="Roboto" w:cs="Roboto" w:eastAsia="Roboto" w:hAnsi="Roboto"/>
          <w:i w:val="1"/>
          <w:color w:val="1155cc"/>
          <w:sz w:val="27"/>
          <w:szCs w:val="27"/>
          <w:u w:val="single"/>
        </w:rPr>
        <w:drawing>
          <wp:inline distB="114300" distT="114300" distL="114300" distR="114300">
            <wp:extent cx="5731200" cy="81026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OpL6GFvsKuD7C3YVu1GrXSKUsTtH0PbE"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