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AEF0" w14:textId="09C67D30" w:rsidR="00D22019" w:rsidRPr="00FD5635" w:rsidRDefault="00E03F15" w:rsidP="00251FA6">
      <w:pPr>
        <w:pStyle w:val="Caption"/>
        <w:spacing w:before="120" w:after="120" w:line="276" w:lineRule="auto"/>
        <w:ind w:firstLine="0"/>
        <w:jc w:val="center"/>
        <w:rPr>
          <w:color w:val="000000" w:themeColor="text1"/>
          <w:sz w:val="32"/>
          <w:szCs w:val="32"/>
          <w:lang w:val="vi-VN"/>
        </w:rPr>
      </w:pPr>
      <w:r w:rsidRPr="7C347B20">
        <w:rPr>
          <w:color w:val="000000" w:themeColor="text1"/>
          <w:sz w:val="32"/>
          <w:szCs w:val="32"/>
          <w:lang w:val="vi-VN"/>
        </w:rPr>
        <w:t xml:space="preserve">9 </w:t>
      </w:r>
      <w:r w:rsidR="00FD5635" w:rsidRPr="7C347B20">
        <w:rPr>
          <w:color w:val="000000" w:themeColor="text1"/>
          <w:sz w:val="32"/>
          <w:szCs w:val="32"/>
        </w:rPr>
        <w:t>t</w:t>
      </w:r>
      <w:r w:rsidRPr="7C347B20">
        <w:rPr>
          <w:color w:val="000000" w:themeColor="text1"/>
          <w:sz w:val="32"/>
          <w:szCs w:val="32"/>
          <w:lang w:val="vi-VN"/>
        </w:rPr>
        <w:t>háng</w:t>
      </w:r>
      <w:r w:rsidR="00FD5635" w:rsidRPr="7C347B20">
        <w:rPr>
          <w:color w:val="000000" w:themeColor="text1"/>
          <w:sz w:val="32"/>
          <w:szCs w:val="32"/>
        </w:rPr>
        <w:t xml:space="preserve"> năm </w:t>
      </w:r>
      <w:r w:rsidRPr="7C347B20">
        <w:rPr>
          <w:color w:val="000000" w:themeColor="text1"/>
          <w:sz w:val="32"/>
          <w:szCs w:val="32"/>
          <w:lang w:val="vi-VN"/>
        </w:rPr>
        <w:t>2025</w:t>
      </w:r>
      <w:r w:rsidR="00FD5635" w:rsidRPr="7C347B20">
        <w:rPr>
          <w:color w:val="000000" w:themeColor="text1"/>
          <w:sz w:val="32"/>
          <w:szCs w:val="32"/>
        </w:rPr>
        <w:t xml:space="preserve"> - </w:t>
      </w:r>
      <w:r w:rsidRPr="7C347B20">
        <w:rPr>
          <w:color w:val="000000" w:themeColor="text1"/>
          <w:sz w:val="32"/>
          <w:szCs w:val="32"/>
          <w:lang w:val="vi-VN"/>
        </w:rPr>
        <w:t xml:space="preserve">Xuất khẩu rau quả sang </w:t>
      </w:r>
      <w:r w:rsidR="00155EC2" w:rsidRPr="7C347B20">
        <w:rPr>
          <w:color w:val="000000" w:themeColor="text1"/>
          <w:sz w:val="32"/>
          <w:szCs w:val="32"/>
        </w:rPr>
        <w:t xml:space="preserve">thị trường </w:t>
      </w:r>
      <w:r w:rsidRPr="7C347B20">
        <w:rPr>
          <w:color w:val="000000" w:themeColor="text1"/>
          <w:sz w:val="32"/>
          <w:szCs w:val="32"/>
          <w:lang w:val="vi-VN"/>
        </w:rPr>
        <w:t xml:space="preserve">CPTPP </w:t>
      </w:r>
      <w:r w:rsidR="00FD5635" w:rsidRPr="7C347B20">
        <w:rPr>
          <w:color w:val="000000" w:themeColor="text1"/>
          <w:sz w:val="32"/>
          <w:szCs w:val="32"/>
        </w:rPr>
        <w:t>ghi nhận tín hiệu</w:t>
      </w:r>
      <w:r w:rsidRPr="7C347B20">
        <w:rPr>
          <w:color w:val="000000" w:themeColor="text1"/>
          <w:sz w:val="32"/>
          <w:szCs w:val="32"/>
          <w:lang w:val="vi-VN"/>
        </w:rPr>
        <w:t xml:space="preserve"> bứt phá</w:t>
      </w:r>
    </w:p>
    <w:p w14:paraId="44CDDABE" w14:textId="1347459C" w:rsidR="00D22019" w:rsidRPr="001F4DD3" w:rsidRDefault="00D22019" w:rsidP="00251FA6">
      <w:pPr>
        <w:pStyle w:val="Caption"/>
        <w:spacing w:before="120" w:after="120" w:line="276" w:lineRule="auto"/>
        <w:ind w:firstLine="0"/>
        <w:rPr>
          <w:b w:val="0"/>
          <w:color w:val="000000" w:themeColor="text1"/>
          <w:sz w:val="28"/>
          <w:szCs w:val="28"/>
          <w:lang w:val="vi-VN"/>
        </w:rPr>
      </w:pPr>
      <w:r w:rsidRPr="001F4DD3">
        <w:rPr>
          <w:b w:val="0"/>
          <w:color w:val="000000" w:themeColor="text1"/>
          <w:sz w:val="28"/>
          <w:szCs w:val="28"/>
          <w:lang w:val="vi-VN"/>
        </w:rPr>
        <w:t xml:space="preserve">Theo số liệu thống kê từ </w:t>
      </w:r>
      <w:r w:rsidR="00F25870">
        <w:rPr>
          <w:b w:val="0"/>
          <w:color w:val="000000" w:themeColor="text1"/>
          <w:sz w:val="28"/>
          <w:szCs w:val="28"/>
        </w:rPr>
        <w:t xml:space="preserve">Cục </w:t>
      </w:r>
      <w:r w:rsidRPr="001F4DD3">
        <w:rPr>
          <w:b w:val="0"/>
          <w:color w:val="000000" w:themeColor="text1"/>
          <w:sz w:val="28"/>
          <w:szCs w:val="28"/>
          <w:lang w:val="vi-VN"/>
        </w:rPr>
        <w:t>Hải quan Việt Nam, trong 9 tháng đầu năm 2025, thị trường các nước thành viên Hiệp định CPTPP tiếp tục đóng vai trò là một trong những khu vực xuất khẩu quan trọng nhưng chưa chiếm tỷ trọng lớn trong tổng kim ngạch xuất khẩu rau quả của Việt Nam ra thế giới. Kim ngạch xuất khẩu rau quả sang các thị trường CPTPP trong 9 tháng đầu năm 2025 đạt 509,58 triệu USD, tăng 28,17% so với cùng kỳ năm 2024. Tuy nhiên, nếu đặt trong bức tranh tổng thể của ngành, con số này chỉ chiếm 8,31% tổng kim ngạch xuất khẩu rau quả của Việt Nam ra thế giới (6,13 tỷ USD), cho thấy rằng dù có tốc độ tăng trưởng tốt, thị phần của CPTPP trong tổng xuất khẩu rau quả vẫn ở mức khiêm tốn và đang có xu hướng giảm nhẹ so với giai đoạn trước (tỷ trọng 9,4% trong 8 tháng đầu năm).</w:t>
      </w:r>
    </w:p>
    <w:p w14:paraId="284D95A6" w14:textId="77777777" w:rsidR="00D22019" w:rsidRDefault="00D22019" w:rsidP="00251FA6">
      <w:pPr>
        <w:pStyle w:val="Caption"/>
        <w:spacing w:before="120" w:after="120" w:line="276" w:lineRule="auto"/>
        <w:ind w:firstLine="0"/>
        <w:rPr>
          <w:b w:val="0"/>
          <w:color w:val="000000" w:themeColor="text1"/>
          <w:sz w:val="28"/>
          <w:szCs w:val="28"/>
          <w:lang w:val="vi-VN"/>
        </w:rPr>
      </w:pPr>
      <w:r w:rsidRPr="001F4DD3">
        <w:rPr>
          <w:b w:val="0"/>
          <w:color w:val="000000" w:themeColor="text1"/>
          <w:sz w:val="28"/>
          <w:szCs w:val="28"/>
          <w:lang w:val="vi-VN"/>
        </w:rPr>
        <w:t>Riêng trong tháng 9/2025, Việt Nam đạt 1,3 tỷ USD kim ngạch xuất khẩu rau quả ra toàn cầu, tăng 38,02% so với tháng trước và 43,12% so với cùng kỳ năm 2024. Tuy nhiên, trong tổng số đó, xuất khẩu sang các nước CPTPP chỉ chiếm 4,33%, tương đương 56,81 triệu USD, cho thấy dù CPTPP là một khu vực thị trường tiềm năng với mức độ cam kết mở cửa sâu rộng, song tỷ trọng kim ngạch vẫn còn khá nhỏ so với các khu vực xuất khẩu chủ lực khác như Trung Quốc, EU hay Hoa Kỳ.</w:t>
      </w:r>
    </w:p>
    <w:p w14:paraId="4372D274" w14:textId="77777777" w:rsidR="00D22019" w:rsidRDefault="00D22019" w:rsidP="00251FA6">
      <w:pPr>
        <w:pStyle w:val="Caption"/>
        <w:spacing w:before="120" w:after="120" w:line="276" w:lineRule="auto"/>
        <w:ind w:firstLine="0"/>
        <w:rPr>
          <w:b w:val="0"/>
          <w:color w:val="000000" w:themeColor="text1"/>
          <w:sz w:val="28"/>
          <w:szCs w:val="28"/>
          <w:lang w:val="vi-VN"/>
        </w:rPr>
      </w:pPr>
      <w:r w:rsidRPr="001F4DD3">
        <w:rPr>
          <w:b w:val="0"/>
          <w:color w:val="000000" w:themeColor="text1"/>
          <w:sz w:val="28"/>
          <w:szCs w:val="28"/>
          <w:lang w:val="vi-VN"/>
        </w:rPr>
        <w:t>Trong 9 tháng đầu năm 2025, xuất khẩu rau quả của Việt Nam sang các thị trường thành viên Hiệp định CPTPP chiếm tỷ trọng 8,31% trong tổng kim ngạch xuất khẩu rau quả của cả nước, một con số tuy chưa quá lớn nhưng mang ý nghĩa chiến lược trong tiến trình đa dạng hóa thị trường và giảm phụ thuộc vào các đối tác truyền thống. Điểm đáng chú ý là tốc độ tăng trưởng xuất khẩu rau quả của Việt Nam sang khối CPTPP đạt tới 28,17% so với cùng kỳ, cao gấp hơn ba lần so với tốc độ tăng trưởng chung của toàn ngành (8,69%), cho thấy CPTPP đang trở thành động lực tăng trưởng quan trọng và là hướng đi bền vững cho ngành rau quả Việt Nam trong bối cảnh cạnh tranh toàn cầu ngày càng gay gắt.</w:t>
      </w:r>
    </w:p>
    <w:p w14:paraId="27007B1E" w14:textId="77777777" w:rsidR="00E03F15" w:rsidRDefault="00E03F15" w:rsidP="00251FA6">
      <w:pPr>
        <w:spacing w:before="120" w:after="120" w:line="276" w:lineRule="auto"/>
        <w:rPr>
          <w:lang w:val="vi-VN" w:eastAsia="en-US"/>
        </w:rPr>
      </w:pPr>
    </w:p>
    <w:p w14:paraId="44FF9E10" w14:textId="77777777" w:rsidR="00251FA6" w:rsidRDefault="00251FA6" w:rsidP="00251FA6">
      <w:pPr>
        <w:spacing w:before="120" w:after="120" w:line="276" w:lineRule="auto"/>
        <w:rPr>
          <w:b/>
          <w:bCs/>
          <w:i/>
          <w:iCs/>
          <w:color w:val="000000" w:themeColor="text1"/>
          <w:szCs w:val="28"/>
        </w:rPr>
      </w:pPr>
      <w:r>
        <w:rPr>
          <w:b/>
          <w:bCs/>
          <w:i/>
          <w:iCs/>
          <w:color w:val="000000" w:themeColor="text1"/>
          <w:szCs w:val="28"/>
        </w:rPr>
        <w:br w:type="page"/>
      </w:r>
    </w:p>
    <w:p w14:paraId="24EA6CF2" w14:textId="433AE212" w:rsidR="00D22019" w:rsidRPr="00D22019" w:rsidRDefault="00D22019" w:rsidP="00251FA6">
      <w:pPr>
        <w:spacing w:before="120" w:after="120" w:line="276" w:lineRule="auto"/>
        <w:jc w:val="center"/>
        <w:rPr>
          <w:b/>
          <w:bCs/>
          <w:i/>
          <w:iCs/>
          <w:color w:val="000000" w:themeColor="text1"/>
          <w:szCs w:val="28"/>
        </w:rPr>
      </w:pPr>
      <w:r w:rsidRPr="00D22019">
        <w:rPr>
          <w:b/>
          <w:bCs/>
          <w:i/>
          <w:iCs/>
          <w:color w:val="000000" w:themeColor="text1"/>
          <w:szCs w:val="28"/>
        </w:rPr>
        <w:lastRenderedPageBreak/>
        <w:t>Tỷ</w:t>
      </w:r>
      <w:r w:rsidRPr="00D22019">
        <w:rPr>
          <w:b/>
          <w:bCs/>
          <w:i/>
          <w:iCs/>
          <w:color w:val="000000" w:themeColor="text1"/>
          <w:szCs w:val="28"/>
          <w:lang w:val="vi-VN"/>
        </w:rPr>
        <w:t xml:space="preserve"> trọng KNXK rau quả của Việt Nam sang các thị trường thuộc CPTPP trên tổng KNXK rau quả Việt Nam ra thế giới 9 tháng đầu năm 2025</w:t>
      </w:r>
    </w:p>
    <w:p w14:paraId="5062375C" w14:textId="77777777" w:rsidR="00D22019" w:rsidRPr="00D22019" w:rsidRDefault="00D22019" w:rsidP="00251FA6">
      <w:pPr>
        <w:spacing w:before="120" w:after="120" w:line="276" w:lineRule="auto"/>
        <w:rPr>
          <w:lang w:val="vi-VN" w:eastAsia="en-US"/>
        </w:rPr>
      </w:pPr>
    </w:p>
    <w:p w14:paraId="62F2AE25" w14:textId="77777777" w:rsidR="00D22019" w:rsidRDefault="00D22019" w:rsidP="00251FA6">
      <w:pPr>
        <w:spacing w:before="120" w:after="120" w:line="276" w:lineRule="auto"/>
        <w:jc w:val="center"/>
        <w:rPr>
          <w:lang w:val="vi-VN" w:eastAsia="en-US"/>
        </w:rPr>
      </w:pPr>
      <w:r w:rsidRPr="001F4DD3">
        <w:rPr>
          <w:noProof/>
          <w:color w:val="000000" w:themeColor="text1"/>
        </w:rPr>
        <w:drawing>
          <wp:inline distT="0" distB="0" distL="0" distR="0" wp14:anchorId="24E2C174" wp14:editId="4A12ED1E">
            <wp:extent cx="3676454" cy="3214330"/>
            <wp:effectExtent l="0" t="0" r="635" b="5715"/>
            <wp:docPr id="122875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51038" name=""/>
                    <pic:cNvPicPr/>
                  </pic:nvPicPr>
                  <pic:blipFill>
                    <a:blip r:embed="rId4"/>
                    <a:stretch>
                      <a:fillRect/>
                    </a:stretch>
                  </pic:blipFill>
                  <pic:spPr>
                    <a:xfrm>
                      <a:off x="0" y="0"/>
                      <a:ext cx="3698611" cy="3233702"/>
                    </a:xfrm>
                    <a:prstGeom prst="rect">
                      <a:avLst/>
                    </a:prstGeom>
                  </pic:spPr>
                </pic:pic>
              </a:graphicData>
            </a:graphic>
          </wp:inline>
        </w:drawing>
      </w:r>
    </w:p>
    <w:p w14:paraId="130FA699" w14:textId="5EE44110" w:rsidR="00D22019" w:rsidRPr="00D22019" w:rsidRDefault="00D22019" w:rsidP="00251FA6">
      <w:pPr>
        <w:spacing w:before="120" w:after="120" w:line="276" w:lineRule="auto"/>
        <w:jc w:val="right"/>
        <w:rPr>
          <w:i/>
          <w:iCs/>
          <w:lang w:val="vi-VN" w:eastAsia="en-US"/>
        </w:rPr>
      </w:pPr>
      <w:r w:rsidRPr="00D22019">
        <w:rPr>
          <w:i/>
          <w:iCs/>
          <w:lang w:val="vi-VN" w:eastAsia="en-US"/>
        </w:rPr>
        <w:t xml:space="preserve">Nguồn: Tính toán từ số liệu của </w:t>
      </w:r>
      <w:r w:rsidR="00F25870">
        <w:rPr>
          <w:i/>
          <w:iCs/>
          <w:lang w:eastAsia="en-US"/>
        </w:rPr>
        <w:t xml:space="preserve">Cục </w:t>
      </w:r>
      <w:r w:rsidRPr="00D22019">
        <w:rPr>
          <w:i/>
          <w:iCs/>
          <w:lang w:val="vi-VN" w:eastAsia="en-US"/>
        </w:rPr>
        <w:t>Hải quan Việt Nam</w:t>
      </w:r>
    </w:p>
    <w:p w14:paraId="5A76F74C" w14:textId="77777777" w:rsidR="00D22019" w:rsidRPr="00D22019" w:rsidRDefault="00D22019" w:rsidP="00251FA6">
      <w:pPr>
        <w:spacing w:before="120" w:after="120" w:line="276" w:lineRule="auto"/>
        <w:rPr>
          <w:lang w:val="vi-VN" w:eastAsia="en-US"/>
        </w:rPr>
      </w:pPr>
    </w:p>
    <w:p w14:paraId="3526D2A0" w14:textId="3F5432C8" w:rsidR="00D22019" w:rsidRPr="00251FA6" w:rsidRDefault="00D22019" w:rsidP="00251FA6">
      <w:pPr>
        <w:spacing w:before="120" w:after="120" w:line="276" w:lineRule="auto"/>
        <w:rPr>
          <w:b/>
          <w:bCs/>
          <w:i/>
          <w:iCs/>
          <w:lang w:eastAsia="en-US"/>
        </w:rPr>
      </w:pPr>
      <w:r w:rsidRPr="00D22019">
        <w:rPr>
          <w:b/>
          <w:bCs/>
          <w:i/>
          <w:iCs/>
          <w:lang w:val="vi-VN" w:eastAsia="en-US"/>
        </w:rPr>
        <w:t xml:space="preserve">Cơ cấu thị trường xuất khẩu: </w:t>
      </w:r>
    </w:p>
    <w:p w14:paraId="2D6B1533" w14:textId="77777777" w:rsidR="00D22019" w:rsidRDefault="00D22019" w:rsidP="00251FA6">
      <w:pPr>
        <w:spacing w:before="120" w:after="120" w:line="276" w:lineRule="auto"/>
        <w:jc w:val="both"/>
        <w:rPr>
          <w:bCs/>
          <w:color w:val="000000" w:themeColor="text1"/>
          <w:szCs w:val="28"/>
        </w:rPr>
      </w:pPr>
      <w:r w:rsidRPr="001F4DD3">
        <w:rPr>
          <w:bCs/>
          <w:color w:val="000000" w:themeColor="text1"/>
          <w:szCs w:val="28"/>
        </w:rPr>
        <w:t>Trong nhóm thị trường CPTPP, Nhật Bản tiếp tục khẳng định vị thế là đối tác lớn nhất của Việt Nam với kim ngạch 9 tháng đạt 182,53 triệu USD, tăng 20,11% so với cùng kỳ, chiếm 35,82% tổng kim ngạch xuất khẩu rau quả sang khối này. Dù tỷ trọng có giảm nhẹ so với mức 38,22% của cùng kỳ năm 2024, Nhật Bản vẫn là thị trường quan trọng hàng đầu nhờ nhu cầu cao đối với các sản phẩm rau quả chế biến, trái cây tươi có chất lượng và quy cách đóng gói đáp ứng tiêu chuẩn khắt khe của thị trường. Kết quả này phản ánh nỗ lực của doanh nghiệp Việt Nam trong việc nâng cao chất lượng, truy xuất nguồn gốc và đáp ứng quy định về an toàn thực phẩm để duy trì chỗ đứng tại thị trường khó tính nhưng ổn định này.</w:t>
      </w:r>
    </w:p>
    <w:p w14:paraId="0404EFA4" w14:textId="77777777" w:rsidR="00251FA6" w:rsidRDefault="00251FA6">
      <w:pPr>
        <w:rPr>
          <w:b/>
          <w:color w:val="000000" w:themeColor="text1"/>
          <w:szCs w:val="28"/>
          <w:lang w:val="vi-VN"/>
        </w:rPr>
      </w:pPr>
      <w:bookmarkStart w:id="0" w:name="_Toc213853312"/>
      <w:r>
        <w:rPr>
          <w:b/>
          <w:color w:val="000000" w:themeColor="text1"/>
          <w:szCs w:val="28"/>
          <w:lang w:val="vi-VN"/>
        </w:rPr>
        <w:br w:type="page"/>
      </w:r>
    </w:p>
    <w:p w14:paraId="28B3C5D1" w14:textId="1C2CF6CE" w:rsidR="00D22019" w:rsidRPr="001F4DD3" w:rsidRDefault="00D22019" w:rsidP="00251FA6">
      <w:pPr>
        <w:spacing w:before="120" w:after="120" w:line="276" w:lineRule="auto"/>
        <w:jc w:val="center"/>
        <w:rPr>
          <w:b/>
          <w:color w:val="000000" w:themeColor="text1"/>
          <w:szCs w:val="28"/>
          <w:lang w:val="vi-VN"/>
        </w:rPr>
      </w:pPr>
      <w:r w:rsidRPr="001F4DD3">
        <w:rPr>
          <w:b/>
          <w:color w:val="000000" w:themeColor="text1"/>
          <w:szCs w:val="28"/>
          <w:lang w:val="vi-VN"/>
        </w:rPr>
        <w:lastRenderedPageBreak/>
        <w:t>Bảng: Thị trường xuất khẩu rau quả của Việt Nam trong khối CPTPP 9 tháng đầu năm 202</w:t>
      </w:r>
      <w:r w:rsidRPr="001F4DD3">
        <w:rPr>
          <w:rFonts w:hint="eastAsia"/>
          <w:b/>
          <w:color w:val="000000" w:themeColor="text1"/>
          <w:szCs w:val="28"/>
          <w:lang w:val="vi-VN"/>
        </w:rPr>
        <w:t>5</w:t>
      </w:r>
      <w:r w:rsidRPr="001F4DD3">
        <w:rPr>
          <w:b/>
          <w:color w:val="000000" w:themeColor="text1"/>
          <w:szCs w:val="28"/>
          <w:lang w:val="vi-VN"/>
        </w:rPr>
        <w:t>.</w:t>
      </w:r>
      <w:bookmarkEnd w:id="0"/>
    </w:p>
    <w:tbl>
      <w:tblPr>
        <w:tblW w:w="8772" w:type="dxa"/>
        <w:jc w:val="center"/>
        <w:tblLook w:val="04A0" w:firstRow="1" w:lastRow="0" w:firstColumn="1" w:lastColumn="0" w:noHBand="0" w:noVBand="1"/>
      </w:tblPr>
      <w:tblGrid>
        <w:gridCol w:w="1352"/>
        <w:gridCol w:w="1060"/>
        <w:gridCol w:w="1060"/>
        <w:gridCol w:w="1060"/>
        <w:gridCol w:w="1060"/>
        <w:gridCol w:w="1060"/>
        <w:gridCol w:w="1060"/>
        <w:gridCol w:w="1060"/>
      </w:tblGrid>
      <w:tr w:rsidR="00D22019" w:rsidRPr="001F4DD3" w14:paraId="4C52BBA1" w14:textId="77777777" w:rsidTr="00D22019">
        <w:trPr>
          <w:trHeight w:val="320"/>
          <w:tblHeader/>
          <w:jc w:val="center"/>
        </w:trPr>
        <w:tc>
          <w:tcPr>
            <w:tcW w:w="1352" w:type="dxa"/>
            <w:vMerge w:val="restart"/>
            <w:tcBorders>
              <w:top w:val="single" w:sz="4" w:space="0" w:color="auto"/>
              <w:left w:val="single" w:sz="4" w:space="0" w:color="auto"/>
              <w:bottom w:val="single" w:sz="4" w:space="0" w:color="auto"/>
              <w:right w:val="single" w:sz="4" w:space="0" w:color="auto"/>
            </w:tcBorders>
            <w:noWrap/>
            <w:vAlign w:val="center"/>
            <w:hideMark/>
          </w:tcPr>
          <w:p w14:paraId="13B8AB16"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Thị trường</w:t>
            </w:r>
          </w:p>
        </w:tc>
        <w:tc>
          <w:tcPr>
            <w:tcW w:w="3180" w:type="dxa"/>
            <w:gridSpan w:val="3"/>
            <w:tcBorders>
              <w:top w:val="single" w:sz="4" w:space="0" w:color="auto"/>
              <w:left w:val="nil"/>
              <w:bottom w:val="single" w:sz="4" w:space="0" w:color="auto"/>
              <w:right w:val="single" w:sz="4" w:space="0" w:color="auto"/>
            </w:tcBorders>
            <w:noWrap/>
            <w:hideMark/>
          </w:tcPr>
          <w:p w14:paraId="2E881B66"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Tháng 9/2025</w:t>
            </w:r>
          </w:p>
        </w:tc>
        <w:tc>
          <w:tcPr>
            <w:tcW w:w="2120" w:type="dxa"/>
            <w:gridSpan w:val="2"/>
            <w:tcBorders>
              <w:top w:val="single" w:sz="4" w:space="0" w:color="auto"/>
              <w:left w:val="nil"/>
              <w:bottom w:val="single" w:sz="4" w:space="0" w:color="auto"/>
              <w:right w:val="single" w:sz="4" w:space="0" w:color="auto"/>
            </w:tcBorders>
            <w:noWrap/>
            <w:hideMark/>
          </w:tcPr>
          <w:p w14:paraId="368FD892"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9 Tháng 2025</w:t>
            </w:r>
          </w:p>
        </w:tc>
        <w:tc>
          <w:tcPr>
            <w:tcW w:w="2120" w:type="dxa"/>
            <w:gridSpan w:val="2"/>
            <w:tcBorders>
              <w:top w:val="single" w:sz="4" w:space="0" w:color="auto"/>
              <w:left w:val="nil"/>
              <w:bottom w:val="single" w:sz="4" w:space="0" w:color="auto"/>
              <w:right w:val="single" w:sz="4" w:space="0" w:color="auto"/>
            </w:tcBorders>
            <w:noWrap/>
            <w:hideMark/>
          </w:tcPr>
          <w:p w14:paraId="47741B93"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Tỷ trọng của thị trường</w:t>
            </w:r>
          </w:p>
        </w:tc>
      </w:tr>
      <w:tr w:rsidR="00D22019" w:rsidRPr="001F4DD3" w14:paraId="64CE9B36" w14:textId="77777777" w:rsidTr="00D22019">
        <w:trPr>
          <w:trHeight w:val="1360"/>
          <w:tblHeader/>
          <w:jc w:val="center"/>
        </w:trPr>
        <w:tc>
          <w:tcPr>
            <w:tcW w:w="1352" w:type="dxa"/>
            <w:vMerge/>
            <w:tcBorders>
              <w:top w:val="single" w:sz="4" w:space="0" w:color="auto"/>
              <w:left w:val="single" w:sz="4" w:space="0" w:color="auto"/>
              <w:bottom w:val="single" w:sz="4" w:space="0" w:color="auto"/>
              <w:right w:val="single" w:sz="4" w:space="0" w:color="auto"/>
            </w:tcBorders>
            <w:hideMark/>
          </w:tcPr>
          <w:p w14:paraId="1CF4F88A" w14:textId="77777777" w:rsidR="00D22019" w:rsidRPr="001F4DD3" w:rsidRDefault="00D22019" w:rsidP="00251FA6">
            <w:pPr>
              <w:spacing w:before="120" w:after="120" w:line="276" w:lineRule="auto"/>
              <w:rPr>
                <w:b/>
                <w:bCs/>
                <w:color w:val="000000" w:themeColor="text1"/>
                <w:szCs w:val="28"/>
              </w:rPr>
            </w:pPr>
          </w:p>
        </w:tc>
        <w:tc>
          <w:tcPr>
            <w:tcW w:w="1060" w:type="dxa"/>
            <w:tcBorders>
              <w:top w:val="nil"/>
              <w:left w:val="nil"/>
              <w:bottom w:val="single" w:sz="4" w:space="0" w:color="auto"/>
              <w:right w:val="single" w:sz="4" w:space="0" w:color="auto"/>
            </w:tcBorders>
            <w:hideMark/>
          </w:tcPr>
          <w:p w14:paraId="7CEF92EE"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Trị giá (Triệu USD)</w:t>
            </w:r>
          </w:p>
        </w:tc>
        <w:tc>
          <w:tcPr>
            <w:tcW w:w="1060" w:type="dxa"/>
            <w:tcBorders>
              <w:top w:val="nil"/>
              <w:left w:val="nil"/>
              <w:bottom w:val="single" w:sz="4" w:space="0" w:color="auto"/>
              <w:right w:val="single" w:sz="4" w:space="0" w:color="auto"/>
            </w:tcBorders>
            <w:hideMark/>
          </w:tcPr>
          <w:p w14:paraId="0DE4BBA3"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So với Tháng 8/2025 (%)</w:t>
            </w:r>
          </w:p>
        </w:tc>
        <w:tc>
          <w:tcPr>
            <w:tcW w:w="1060" w:type="dxa"/>
            <w:tcBorders>
              <w:top w:val="nil"/>
              <w:left w:val="nil"/>
              <w:bottom w:val="single" w:sz="4" w:space="0" w:color="auto"/>
              <w:right w:val="single" w:sz="4" w:space="0" w:color="auto"/>
            </w:tcBorders>
            <w:hideMark/>
          </w:tcPr>
          <w:p w14:paraId="1AFF0368"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So với Tháng 9/2024 (%)</w:t>
            </w:r>
          </w:p>
        </w:tc>
        <w:tc>
          <w:tcPr>
            <w:tcW w:w="1060" w:type="dxa"/>
            <w:tcBorders>
              <w:top w:val="nil"/>
              <w:left w:val="nil"/>
              <w:bottom w:val="single" w:sz="4" w:space="0" w:color="auto"/>
              <w:right w:val="single" w:sz="4" w:space="0" w:color="auto"/>
            </w:tcBorders>
            <w:hideMark/>
          </w:tcPr>
          <w:p w14:paraId="4432602F"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Trị giá (Triệu USD)</w:t>
            </w:r>
          </w:p>
        </w:tc>
        <w:tc>
          <w:tcPr>
            <w:tcW w:w="1060" w:type="dxa"/>
            <w:tcBorders>
              <w:top w:val="nil"/>
              <w:left w:val="nil"/>
              <w:bottom w:val="single" w:sz="4" w:space="0" w:color="auto"/>
              <w:right w:val="single" w:sz="4" w:space="0" w:color="auto"/>
            </w:tcBorders>
            <w:hideMark/>
          </w:tcPr>
          <w:p w14:paraId="5BA0B5C7"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So với 9 Tháng 2024 (%)</w:t>
            </w:r>
          </w:p>
        </w:tc>
        <w:tc>
          <w:tcPr>
            <w:tcW w:w="1060" w:type="dxa"/>
            <w:tcBorders>
              <w:top w:val="nil"/>
              <w:left w:val="nil"/>
              <w:bottom w:val="single" w:sz="4" w:space="0" w:color="auto"/>
              <w:right w:val="single" w:sz="4" w:space="0" w:color="auto"/>
            </w:tcBorders>
            <w:hideMark/>
          </w:tcPr>
          <w:p w14:paraId="3F6A70CE"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9 Tháng 2025 (%)</w:t>
            </w:r>
          </w:p>
        </w:tc>
        <w:tc>
          <w:tcPr>
            <w:tcW w:w="1060" w:type="dxa"/>
            <w:tcBorders>
              <w:top w:val="nil"/>
              <w:left w:val="nil"/>
              <w:bottom w:val="single" w:sz="4" w:space="0" w:color="auto"/>
              <w:right w:val="single" w:sz="4" w:space="0" w:color="auto"/>
            </w:tcBorders>
            <w:hideMark/>
          </w:tcPr>
          <w:p w14:paraId="71765CAF" w14:textId="77777777" w:rsidR="00D22019" w:rsidRPr="001F4DD3" w:rsidRDefault="00D22019" w:rsidP="00251FA6">
            <w:pPr>
              <w:spacing w:before="120" w:after="120" w:line="276" w:lineRule="auto"/>
              <w:jc w:val="center"/>
              <w:rPr>
                <w:b/>
                <w:bCs/>
                <w:color w:val="000000" w:themeColor="text1"/>
                <w:szCs w:val="28"/>
              </w:rPr>
            </w:pPr>
            <w:r w:rsidRPr="001F4DD3">
              <w:rPr>
                <w:b/>
                <w:bCs/>
                <w:color w:val="000000" w:themeColor="text1"/>
                <w:szCs w:val="28"/>
              </w:rPr>
              <w:t>9 Tháng 2024 (%)</w:t>
            </w:r>
          </w:p>
        </w:tc>
      </w:tr>
      <w:tr w:rsidR="00D22019" w:rsidRPr="001F4DD3" w14:paraId="4DEA9B68"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65254759"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Tổng</w:t>
            </w:r>
          </w:p>
        </w:tc>
        <w:tc>
          <w:tcPr>
            <w:tcW w:w="1060" w:type="dxa"/>
            <w:tcBorders>
              <w:top w:val="nil"/>
              <w:left w:val="nil"/>
              <w:bottom w:val="single" w:sz="4" w:space="0" w:color="auto"/>
              <w:right w:val="single" w:sz="4" w:space="0" w:color="auto"/>
            </w:tcBorders>
            <w:noWrap/>
            <w:vAlign w:val="bottom"/>
            <w:hideMark/>
          </w:tcPr>
          <w:p w14:paraId="622F0E4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56,81</w:t>
            </w:r>
          </w:p>
        </w:tc>
        <w:tc>
          <w:tcPr>
            <w:tcW w:w="1060" w:type="dxa"/>
            <w:tcBorders>
              <w:top w:val="nil"/>
              <w:left w:val="nil"/>
              <w:bottom w:val="single" w:sz="4" w:space="0" w:color="auto"/>
              <w:right w:val="single" w:sz="4" w:space="0" w:color="auto"/>
            </w:tcBorders>
            <w:noWrap/>
            <w:vAlign w:val="bottom"/>
            <w:hideMark/>
          </w:tcPr>
          <w:p w14:paraId="424397AE"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-10,67</w:t>
            </w:r>
          </w:p>
        </w:tc>
        <w:tc>
          <w:tcPr>
            <w:tcW w:w="1060" w:type="dxa"/>
            <w:tcBorders>
              <w:top w:val="nil"/>
              <w:left w:val="nil"/>
              <w:bottom w:val="single" w:sz="4" w:space="0" w:color="auto"/>
              <w:right w:val="single" w:sz="4" w:space="0" w:color="auto"/>
            </w:tcBorders>
            <w:noWrap/>
            <w:vAlign w:val="bottom"/>
            <w:hideMark/>
          </w:tcPr>
          <w:p w14:paraId="361EB88A"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27,40</w:t>
            </w:r>
          </w:p>
        </w:tc>
        <w:tc>
          <w:tcPr>
            <w:tcW w:w="1060" w:type="dxa"/>
            <w:tcBorders>
              <w:top w:val="nil"/>
              <w:left w:val="nil"/>
              <w:bottom w:val="single" w:sz="4" w:space="0" w:color="auto"/>
              <w:right w:val="single" w:sz="4" w:space="0" w:color="auto"/>
            </w:tcBorders>
            <w:noWrap/>
            <w:vAlign w:val="bottom"/>
            <w:hideMark/>
          </w:tcPr>
          <w:p w14:paraId="539A672A"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509,58</w:t>
            </w:r>
          </w:p>
        </w:tc>
        <w:tc>
          <w:tcPr>
            <w:tcW w:w="1060" w:type="dxa"/>
            <w:tcBorders>
              <w:top w:val="nil"/>
              <w:left w:val="nil"/>
              <w:bottom w:val="single" w:sz="4" w:space="0" w:color="auto"/>
              <w:right w:val="single" w:sz="4" w:space="0" w:color="auto"/>
            </w:tcBorders>
            <w:noWrap/>
            <w:vAlign w:val="bottom"/>
            <w:hideMark/>
          </w:tcPr>
          <w:p w14:paraId="657498B6"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28,17</w:t>
            </w:r>
          </w:p>
        </w:tc>
        <w:tc>
          <w:tcPr>
            <w:tcW w:w="1060" w:type="dxa"/>
            <w:tcBorders>
              <w:top w:val="nil"/>
              <w:left w:val="nil"/>
              <w:bottom w:val="single" w:sz="4" w:space="0" w:color="auto"/>
              <w:right w:val="single" w:sz="4" w:space="0" w:color="auto"/>
            </w:tcBorders>
            <w:noWrap/>
            <w:vAlign w:val="bottom"/>
            <w:hideMark/>
          </w:tcPr>
          <w:p w14:paraId="451371E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100</w:t>
            </w:r>
          </w:p>
        </w:tc>
        <w:tc>
          <w:tcPr>
            <w:tcW w:w="1060" w:type="dxa"/>
            <w:tcBorders>
              <w:top w:val="nil"/>
              <w:left w:val="nil"/>
              <w:bottom w:val="single" w:sz="4" w:space="0" w:color="auto"/>
              <w:right w:val="single" w:sz="4" w:space="0" w:color="auto"/>
            </w:tcBorders>
            <w:noWrap/>
            <w:vAlign w:val="bottom"/>
            <w:hideMark/>
          </w:tcPr>
          <w:p w14:paraId="1604B6EF"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100</w:t>
            </w:r>
          </w:p>
        </w:tc>
      </w:tr>
      <w:tr w:rsidR="00D22019" w:rsidRPr="001F4DD3" w14:paraId="7F1ED088"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3C58C18B"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Nhật Bản</w:t>
            </w:r>
          </w:p>
        </w:tc>
        <w:tc>
          <w:tcPr>
            <w:tcW w:w="1060" w:type="dxa"/>
            <w:tcBorders>
              <w:top w:val="nil"/>
              <w:left w:val="nil"/>
              <w:bottom w:val="single" w:sz="4" w:space="0" w:color="auto"/>
              <w:right w:val="single" w:sz="4" w:space="0" w:color="auto"/>
            </w:tcBorders>
            <w:noWrap/>
            <w:vAlign w:val="bottom"/>
            <w:hideMark/>
          </w:tcPr>
          <w:p w14:paraId="3405C664"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19,18</w:t>
            </w:r>
          </w:p>
        </w:tc>
        <w:tc>
          <w:tcPr>
            <w:tcW w:w="1060" w:type="dxa"/>
            <w:tcBorders>
              <w:top w:val="nil"/>
              <w:left w:val="nil"/>
              <w:bottom w:val="single" w:sz="4" w:space="0" w:color="auto"/>
              <w:right w:val="single" w:sz="4" w:space="0" w:color="auto"/>
            </w:tcBorders>
            <w:noWrap/>
            <w:vAlign w:val="bottom"/>
            <w:hideMark/>
          </w:tcPr>
          <w:p w14:paraId="5C98BC73"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-10,70</w:t>
            </w:r>
          </w:p>
        </w:tc>
        <w:tc>
          <w:tcPr>
            <w:tcW w:w="1060" w:type="dxa"/>
            <w:tcBorders>
              <w:top w:val="nil"/>
              <w:left w:val="nil"/>
              <w:bottom w:val="single" w:sz="4" w:space="0" w:color="auto"/>
              <w:right w:val="single" w:sz="4" w:space="0" w:color="auto"/>
            </w:tcBorders>
            <w:noWrap/>
            <w:vAlign w:val="bottom"/>
            <w:hideMark/>
          </w:tcPr>
          <w:p w14:paraId="6A82649C"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16,50</w:t>
            </w:r>
          </w:p>
        </w:tc>
        <w:tc>
          <w:tcPr>
            <w:tcW w:w="1060" w:type="dxa"/>
            <w:tcBorders>
              <w:top w:val="nil"/>
              <w:left w:val="nil"/>
              <w:bottom w:val="single" w:sz="4" w:space="0" w:color="auto"/>
              <w:right w:val="single" w:sz="4" w:space="0" w:color="auto"/>
            </w:tcBorders>
            <w:noWrap/>
            <w:vAlign w:val="bottom"/>
            <w:hideMark/>
          </w:tcPr>
          <w:p w14:paraId="275AB6E6"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182,53</w:t>
            </w:r>
          </w:p>
        </w:tc>
        <w:tc>
          <w:tcPr>
            <w:tcW w:w="1060" w:type="dxa"/>
            <w:tcBorders>
              <w:top w:val="nil"/>
              <w:left w:val="nil"/>
              <w:bottom w:val="single" w:sz="4" w:space="0" w:color="auto"/>
              <w:right w:val="single" w:sz="4" w:space="0" w:color="auto"/>
            </w:tcBorders>
            <w:noWrap/>
            <w:vAlign w:val="bottom"/>
            <w:hideMark/>
          </w:tcPr>
          <w:p w14:paraId="5E27638E"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20,11</w:t>
            </w:r>
          </w:p>
        </w:tc>
        <w:tc>
          <w:tcPr>
            <w:tcW w:w="1060" w:type="dxa"/>
            <w:tcBorders>
              <w:top w:val="nil"/>
              <w:left w:val="nil"/>
              <w:bottom w:val="single" w:sz="4" w:space="0" w:color="auto"/>
              <w:right w:val="single" w:sz="4" w:space="0" w:color="auto"/>
            </w:tcBorders>
            <w:noWrap/>
            <w:vAlign w:val="bottom"/>
            <w:hideMark/>
          </w:tcPr>
          <w:p w14:paraId="28231BCC"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35,82</w:t>
            </w:r>
          </w:p>
        </w:tc>
        <w:tc>
          <w:tcPr>
            <w:tcW w:w="1060" w:type="dxa"/>
            <w:tcBorders>
              <w:top w:val="nil"/>
              <w:left w:val="nil"/>
              <w:bottom w:val="single" w:sz="4" w:space="0" w:color="auto"/>
              <w:right w:val="single" w:sz="4" w:space="0" w:color="auto"/>
            </w:tcBorders>
            <w:noWrap/>
            <w:vAlign w:val="bottom"/>
            <w:hideMark/>
          </w:tcPr>
          <w:p w14:paraId="65EE3973"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38,22</w:t>
            </w:r>
          </w:p>
        </w:tc>
      </w:tr>
      <w:tr w:rsidR="00D22019" w:rsidRPr="001F4DD3" w14:paraId="3DA2DA4E"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5C32F6DA"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Úc</w:t>
            </w:r>
          </w:p>
        </w:tc>
        <w:tc>
          <w:tcPr>
            <w:tcW w:w="1060" w:type="dxa"/>
            <w:tcBorders>
              <w:top w:val="nil"/>
              <w:left w:val="nil"/>
              <w:bottom w:val="single" w:sz="4" w:space="0" w:color="auto"/>
              <w:right w:val="single" w:sz="4" w:space="0" w:color="auto"/>
            </w:tcBorders>
            <w:noWrap/>
            <w:vAlign w:val="bottom"/>
            <w:hideMark/>
          </w:tcPr>
          <w:p w14:paraId="2A34F65E"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11,89</w:t>
            </w:r>
          </w:p>
        </w:tc>
        <w:tc>
          <w:tcPr>
            <w:tcW w:w="1060" w:type="dxa"/>
            <w:tcBorders>
              <w:top w:val="nil"/>
              <w:left w:val="nil"/>
              <w:bottom w:val="single" w:sz="4" w:space="0" w:color="auto"/>
              <w:right w:val="single" w:sz="4" w:space="0" w:color="auto"/>
            </w:tcBorders>
            <w:noWrap/>
            <w:vAlign w:val="bottom"/>
            <w:hideMark/>
          </w:tcPr>
          <w:p w14:paraId="4CDC4093"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-1,55</w:t>
            </w:r>
          </w:p>
        </w:tc>
        <w:tc>
          <w:tcPr>
            <w:tcW w:w="1060" w:type="dxa"/>
            <w:tcBorders>
              <w:top w:val="nil"/>
              <w:left w:val="nil"/>
              <w:bottom w:val="single" w:sz="4" w:space="0" w:color="auto"/>
              <w:right w:val="single" w:sz="4" w:space="0" w:color="auto"/>
            </w:tcBorders>
            <w:noWrap/>
            <w:vAlign w:val="bottom"/>
            <w:hideMark/>
          </w:tcPr>
          <w:p w14:paraId="38A62BBB"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21,78</w:t>
            </w:r>
          </w:p>
        </w:tc>
        <w:tc>
          <w:tcPr>
            <w:tcW w:w="1060" w:type="dxa"/>
            <w:tcBorders>
              <w:top w:val="nil"/>
              <w:left w:val="nil"/>
              <w:bottom w:val="single" w:sz="4" w:space="0" w:color="auto"/>
              <w:right w:val="single" w:sz="4" w:space="0" w:color="auto"/>
            </w:tcBorders>
            <w:noWrap/>
            <w:vAlign w:val="bottom"/>
            <w:hideMark/>
          </w:tcPr>
          <w:p w14:paraId="59E8871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100,30</w:t>
            </w:r>
          </w:p>
        </w:tc>
        <w:tc>
          <w:tcPr>
            <w:tcW w:w="1060" w:type="dxa"/>
            <w:tcBorders>
              <w:top w:val="nil"/>
              <w:left w:val="nil"/>
              <w:bottom w:val="single" w:sz="4" w:space="0" w:color="auto"/>
              <w:right w:val="single" w:sz="4" w:space="0" w:color="auto"/>
            </w:tcBorders>
            <w:noWrap/>
            <w:vAlign w:val="bottom"/>
            <w:hideMark/>
          </w:tcPr>
          <w:p w14:paraId="4893553F"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27,03</w:t>
            </w:r>
          </w:p>
        </w:tc>
        <w:tc>
          <w:tcPr>
            <w:tcW w:w="1060" w:type="dxa"/>
            <w:tcBorders>
              <w:top w:val="nil"/>
              <w:left w:val="nil"/>
              <w:bottom w:val="single" w:sz="4" w:space="0" w:color="auto"/>
              <w:right w:val="single" w:sz="4" w:space="0" w:color="auto"/>
            </w:tcBorders>
            <w:noWrap/>
            <w:vAlign w:val="bottom"/>
            <w:hideMark/>
          </w:tcPr>
          <w:p w14:paraId="573A2E33"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19,68</w:t>
            </w:r>
          </w:p>
        </w:tc>
        <w:tc>
          <w:tcPr>
            <w:tcW w:w="1060" w:type="dxa"/>
            <w:tcBorders>
              <w:top w:val="nil"/>
              <w:left w:val="nil"/>
              <w:bottom w:val="single" w:sz="4" w:space="0" w:color="auto"/>
              <w:right w:val="single" w:sz="4" w:space="0" w:color="auto"/>
            </w:tcBorders>
            <w:noWrap/>
            <w:vAlign w:val="bottom"/>
            <w:hideMark/>
          </w:tcPr>
          <w:p w14:paraId="6E0B2BF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19,86</w:t>
            </w:r>
          </w:p>
        </w:tc>
      </w:tr>
      <w:tr w:rsidR="00D22019" w:rsidRPr="001F4DD3" w14:paraId="7603DA4C"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2B9DBD13"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Malaysia</w:t>
            </w:r>
          </w:p>
        </w:tc>
        <w:tc>
          <w:tcPr>
            <w:tcW w:w="1060" w:type="dxa"/>
            <w:tcBorders>
              <w:top w:val="nil"/>
              <w:left w:val="nil"/>
              <w:bottom w:val="single" w:sz="4" w:space="0" w:color="auto"/>
              <w:right w:val="single" w:sz="4" w:space="0" w:color="auto"/>
            </w:tcBorders>
            <w:noWrap/>
            <w:vAlign w:val="bottom"/>
            <w:hideMark/>
          </w:tcPr>
          <w:p w14:paraId="5D6B5A7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8,51</w:t>
            </w:r>
          </w:p>
        </w:tc>
        <w:tc>
          <w:tcPr>
            <w:tcW w:w="1060" w:type="dxa"/>
            <w:tcBorders>
              <w:top w:val="nil"/>
              <w:left w:val="nil"/>
              <w:bottom w:val="single" w:sz="4" w:space="0" w:color="auto"/>
              <w:right w:val="single" w:sz="4" w:space="0" w:color="auto"/>
            </w:tcBorders>
            <w:noWrap/>
            <w:vAlign w:val="bottom"/>
            <w:hideMark/>
          </w:tcPr>
          <w:p w14:paraId="7A7A7BE4"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-15,19</w:t>
            </w:r>
          </w:p>
        </w:tc>
        <w:tc>
          <w:tcPr>
            <w:tcW w:w="1060" w:type="dxa"/>
            <w:tcBorders>
              <w:top w:val="nil"/>
              <w:left w:val="nil"/>
              <w:bottom w:val="single" w:sz="4" w:space="0" w:color="auto"/>
              <w:right w:val="single" w:sz="4" w:space="0" w:color="auto"/>
            </w:tcBorders>
            <w:noWrap/>
            <w:vAlign w:val="bottom"/>
            <w:hideMark/>
          </w:tcPr>
          <w:p w14:paraId="47EFD2E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105,76</w:t>
            </w:r>
          </w:p>
        </w:tc>
        <w:tc>
          <w:tcPr>
            <w:tcW w:w="1060" w:type="dxa"/>
            <w:tcBorders>
              <w:top w:val="nil"/>
              <w:left w:val="nil"/>
              <w:bottom w:val="single" w:sz="4" w:space="0" w:color="auto"/>
              <w:right w:val="single" w:sz="4" w:space="0" w:color="auto"/>
            </w:tcBorders>
            <w:noWrap/>
            <w:vAlign w:val="bottom"/>
            <w:hideMark/>
          </w:tcPr>
          <w:p w14:paraId="567B22D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71,45</w:t>
            </w:r>
          </w:p>
        </w:tc>
        <w:tc>
          <w:tcPr>
            <w:tcW w:w="1060" w:type="dxa"/>
            <w:tcBorders>
              <w:top w:val="nil"/>
              <w:left w:val="nil"/>
              <w:bottom w:val="single" w:sz="4" w:space="0" w:color="auto"/>
              <w:right w:val="single" w:sz="4" w:space="0" w:color="auto"/>
            </w:tcBorders>
            <w:noWrap/>
            <w:vAlign w:val="bottom"/>
            <w:hideMark/>
          </w:tcPr>
          <w:p w14:paraId="4CF5598B"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70,50</w:t>
            </w:r>
          </w:p>
        </w:tc>
        <w:tc>
          <w:tcPr>
            <w:tcW w:w="1060" w:type="dxa"/>
            <w:tcBorders>
              <w:top w:val="nil"/>
              <w:left w:val="nil"/>
              <w:bottom w:val="single" w:sz="4" w:space="0" w:color="auto"/>
              <w:right w:val="single" w:sz="4" w:space="0" w:color="auto"/>
            </w:tcBorders>
            <w:noWrap/>
            <w:vAlign w:val="bottom"/>
            <w:hideMark/>
          </w:tcPr>
          <w:p w14:paraId="7B78FA7E"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14,02</w:t>
            </w:r>
          </w:p>
        </w:tc>
        <w:tc>
          <w:tcPr>
            <w:tcW w:w="1060" w:type="dxa"/>
            <w:tcBorders>
              <w:top w:val="nil"/>
              <w:left w:val="nil"/>
              <w:bottom w:val="single" w:sz="4" w:space="0" w:color="auto"/>
              <w:right w:val="single" w:sz="4" w:space="0" w:color="auto"/>
            </w:tcBorders>
            <w:noWrap/>
            <w:vAlign w:val="bottom"/>
            <w:hideMark/>
          </w:tcPr>
          <w:p w14:paraId="6B2E9B2C"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10,54</w:t>
            </w:r>
          </w:p>
        </w:tc>
      </w:tr>
      <w:tr w:rsidR="00D22019" w:rsidRPr="001F4DD3" w14:paraId="6E19E810"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0CDA846F"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Canada</w:t>
            </w:r>
          </w:p>
        </w:tc>
        <w:tc>
          <w:tcPr>
            <w:tcW w:w="1060" w:type="dxa"/>
            <w:tcBorders>
              <w:top w:val="nil"/>
              <w:left w:val="nil"/>
              <w:bottom w:val="single" w:sz="4" w:space="0" w:color="auto"/>
              <w:right w:val="single" w:sz="4" w:space="0" w:color="auto"/>
            </w:tcBorders>
            <w:noWrap/>
            <w:vAlign w:val="bottom"/>
            <w:hideMark/>
          </w:tcPr>
          <w:p w14:paraId="36173C50"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6,77</w:t>
            </w:r>
          </w:p>
        </w:tc>
        <w:tc>
          <w:tcPr>
            <w:tcW w:w="1060" w:type="dxa"/>
            <w:tcBorders>
              <w:top w:val="nil"/>
              <w:left w:val="nil"/>
              <w:bottom w:val="single" w:sz="4" w:space="0" w:color="auto"/>
              <w:right w:val="single" w:sz="4" w:space="0" w:color="auto"/>
            </w:tcBorders>
            <w:noWrap/>
            <w:vAlign w:val="bottom"/>
            <w:hideMark/>
          </w:tcPr>
          <w:p w14:paraId="3471A66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-5,72</w:t>
            </w:r>
          </w:p>
        </w:tc>
        <w:tc>
          <w:tcPr>
            <w:tcW w:w="1060" w:type="dxa"/>
            <w:tcBorders>
              <w:top w:val="nil"/>
              <w:left w:val="nil"/>
              <w:bottom w:val="single" w:sz="4" w:space="0" w:color="auto"/>
              <w:right w:val="single" w:sz="4" w:space="0" w:color="auto"/>
            </w:tcBorders>
            <w:noWrap/>
            <w:vAlign w:val="bottom"/>
            <w:hideMark/>
          </w:tcPr>
          <w:p w14:paraId="070A6384"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21,06</w:t>
            </w:r>
          </w:p>
        </w:tc>
        <w:tc>
          <w:tcPr>
            <w:tcW w:w="1060" w:type="dxa"/>
            <w:tcBorders>
              <w:top w:val="nil"/>
              <w:left w:val="nil"/>
              <w:bottom w:val="single" w:sz="4" w:space="0" w:color="auto"/>
              <w:right w:val="single" w:sz="4" w:space="0" w:color="auto"/>
            </w:tcBorders>
            <w:noWrap/>
            <w:vAlign w:val="bottom"/>
            <w:hideMark/>
          </w:tcPr>
          <w:p w14:paraId="3498701B"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56,00</w:t>
            </w:r>
          </w:p>
        </w:tc>
        <w:tc>
          <w:tcPr>
            <w:tcW w:w="1060" w:type="dxa"/>
            <w:tcBorders>
              <w:top w:val="nil"/>
              <w:left w:val="nil"/>
              <w:bottom w:val="single" w:sz="4" w:space="0" w:color="auto"/>
              <w:right w:val="single" w:sz="4" w:space="0" w:color="auto"/>
            </w:tcBorders>
            <w:noWrap/>
            <w:vAlign w:val="bottom"/>
            <w:hideMark/>
          </w:tcPr>
          <w:p w14:paraId="57119BA4"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13,62</w:t>
            </w:r>
          </w:p>
        </w:tc>
        <w:tc>
          <w:tcPr>
            <w:tcW w:w="1060" w:type="dxa"/>
            <w:tcBorders>
              <w:top w:val="nil"/>
              <w:left w:val="nil"/>
              <w:bottom w:val="single" w:sz="4" w:space="0" w:color="auto"/>
              <w:right w:val="single" w:sz="4" w:space="0" w:color="auto"/>
            </w:tcBorders>
            <w:noWrap/>
            <w:vAlign w:val="bottom"/>
            <w:hideMark/>
          </w:tcPr>
          <w:p w14:paraId="598CC8A1"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10,99</w:t>
            </w:r>
          </w:p>
        </w:tc>
        <w:tc>
          <w:tcPr>
            <w:tcW w:w="1060" w:type="dxa"/>
            <w:tcBorders>
              <w:top w:val="nil"/>
              <w:left w:val="nil"/>
              <w:bottom w:val="single" w:sz="4" w:space="0" w:color="auto"/>
              <w:right w:val="single" w:sz="4" w:space="0" w:color="auto"/>
            </w:tcBorders>
            <w:noWrap/>
            <w:vAlign w:val="bottom"/>
            <w:hideMark/>
          </w:tcPr>
          <w:p w14:paraId="08F9B17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12,40</w:t>
            </w:r>
          </w:p>
        </w:tc>
      </w:tr>
      <w:tr w:rsidR="00D22019" w:rsidRPr="001F4DD3" w14:paraId="2FE7095A"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72E892BD"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Anh</w:t>
            </w:r>
          </w:p>
        </w:tc>
        <w:tc>
          <w:tcPr>
            <w:tcW w:w="1060" w:type="dxa"/>
            <w:tcBorders>
              <w:top w:val="nil"/>
              <w:left w:val="nil"/>
              <w:bottom w:val="single" w:sz="4" w:space="0" w:color="auto"/>
              <w:right w:val="single" w:sz="4" w:space="0" w:color="auto"/>
            </w:tcBorders>
            <w:noWrap/>
            <w:vAlign w:val="bottom"/>
            <w:hideMark/>
          </w:tcPr>
          <w:p w14:paraId="5F525046"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4,00</w:t>
            </w:r>
          </w:p>
        </w:tc>
        <w:tc>
          <w:tcPr>
            <w:tcW w:w="1060" w:type="dxa"/>
            <w:tcBorders>
              <w:top w:val="nil"/>
              <w:left w:val="nil"/>
              <w:bottom w:val="single" w:sz="4" w:space="0" w:color="auto"/>
              <w:right w:val="single" w:sz="4" w:space="0" w:color="auto"/>
            </w:tcBorders>
            <w:noWrap/>
            <w:vAlign w:val="bottom"/>
            <w:hideMark/>
          </w:tcPr>
          <w:p w14:paraId="73DE71C1"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-30,00</w:t>
            </w:r>
          </w:p>
        </w:tc>
        <w:tc>
          <w:tcPr>
            <w:tcW w:w="1060" w:type="dxa"/>
            <w:tcBorders>
              <w:top w:val="nil"/>
              <w:left w:val="nil"/>
              <w:bottom w:val="single" w:sz="4" w:space="0" w:color="auto"/>
              <w:right w:val="single" w:sz="4" w:space="0" w:color="auto"/>
            </w:tcBorders>
            <w:noWrap/>
            <w:vAlign w:val="bottom"/>
            <w:hideMark/>
          </w:tcPr>
          <w:p w14:paraId="37BF01A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22,32</w:t>
            </w:r>
          </w:p>
        </w:tc>
        <w:tc>
          <w:tcPr>
            <w:tcW w:w="1060" w:type="dxa"/>
            <w:tcBorders>
              <w:top w:val="nil"/>
              <w:left w:val="nil"/>
              <w:bottom w:val="single" w:sz="4" w:space="0" w:color="auto"/>
              <w:right w:val="single" w:sz="4" w:space="0" w:color="auto"/>
            </w:tcBorders>
            <w:noWrap/>
            <w:vAlign w:val="bottom"/>
            <w:hideMark/>
          </w:tcPr>
          <w:p w14:paraId="35AE7BE5"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42,44</w:t>
            </w:r>
          </w:p>
        </w:tc>
        <w:tc>
          <w:tcPr>
            <w:tcW w:w="1060" w:type="dxa"/>
            <w:tcBorders>
              <w:top w:val="nil"/>
              <w:left w:val="nil"/>
              <w:bottom w:val="single" w:sz="4" w:space="0" w:color="auto"/>
              <w:right w:val="single" w:sz="4" w:space="0" w:color="auto"/>
            </w:tcBorders>
            <w:noWrap/>
            <w:vAlign w:val="bottom"/>
            <w:hideMark/>
          </w:tcPr>
          <w:p w14:paraId="01D3C415"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54,58</w:t>
            </w:r>
          </w:p>
        </w:tc>
        <w:tc>
          <w:tcPr>
            <w:tcW w:w="1060" w:type="dxa"/>
            <w:tcBorders>
              <w:top w:val="nil"/>
              <w:left w:val="nil"/>
              <w:bottom w:val="single" w:sz="4" w:space="0" w:color="auto"/>
              <w:right w:val="single" w:sz="4" w:space="0" w:color="auto"/>
            </w:tcBorders>
            <w:noWrap/>
            <w:vAlign w:val="bottom"/>
            <w:hideMark/>
          </w:tcPr>
          <w:p w14:paraId="3415FC7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8,33</w:t>
            </w:r>
          </w:p>
        </w:tc>
        <w:tc>
          <w:tcPr>
            <w:tcW w:w="1060" w:type="dxa"/>
            <w:tcBorders>
              <w:top w:val="nil"/>
              <w:left w:val="nil"/>
              <w:bottom w:val="single" w:sz="4" w:space="0" w:color="auto"/>
              <w:right w:val="single" w:sz="4" w:space="0" w:color="auto"/>
            </w:tcBorders>
            <w:noWrap/>
            <w:vAlign w:val="bottom"/>
            <w:hideMark/>
          </w:tcPr>
          <w:p w14:paraId="4A837331"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6,91</w:t>
            </w:r>
          </w:p>
        </w:tc>
      </w:tr>
      <w:tr w:rsidR="00D22019" w:rsidRPr="001F4DD3" w14:paraId="200A3AC6"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4D5E8069"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Singapore</w:t>
            </w:r>
          </w:p>
        </w:tc>
        <w:tc>
          <w:tcPr>
            <w:tcW w:w="1060" w:type="dxa"/>
            <w:tcBorders>
              <w:top w:val="nil"/>
              <w:left w:val="nil"/>
              <w:bottom w:val="single" w:sz="4" w:space="0" w:color="auto"/>
              <w:right w:val="single" w:sz="4" w:space="0" w:color="auto"/>
            </w:tcBorders>
            <w:noWrap/>
            <w:vAlign w:val="bottom"/>
            <w:hideMark/>
          </w:tcPr>
          <w:p w14:paraId="3D71174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3,99</w:t>
            </w:r>
          </w:p>
        </w:tc>
        <w:tc>
          <w:tcPr>
            <w:tcW w:w="1060" w:type="dxa"/>
            <w:tcBorders>
              <w:top w:val="nil"/>
              <w:left w:val="nil"/>
              <w:bottom w:val="single" w:sz="4" w:space="0" w:color="auto"/>
              <w:right w:val="single" w:sz="4" w:space="0" w:color="auto"/>
            </w:tcBorders>
            <w:noWrap/>
            <w:vAlign w:val="bottom"/>
            <w:hideMark/>
          </w:tcPr>
          <w:p w14:paraId="36961405"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-11,58</w:t>
            </w:r>
          </w:p>
        </w:tc>
        <w:tc>
          <w:tcPr>
            <w:tcW w:w="1060" w:type="dxa"/>
            <w:tcBorders>
              <w:top w:val="nil"/>
              <w:left w:val="nil"/>
              <w:bottom w:val="single" w:sz="4" w:space="0" w:color="auto"/>
              <w:right w:val="single" w:sz="4" w:space="0" w:color="auto"/>
            </w:tcBorders>
            <w:noWrap/>
            <w:vAlign w:val="bottom"/>
            <w:hideMark/>
          </w:tcPr>
          <w:p w14:paraId="368AE3E0"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21,37</w:t>
            </w:r>
          </w:p>
        </w:tc>
        <w:tc>
          <w:tcPr>
            <w:tcW w:w="1060" w:type="dxa"/>
            <w:tcBorders>
              <w:top w:val="nil"/>
              <w:left w:val="nil"/>
              <w:bottom w:val="single" w:sz="4" w:space="0" w:color="auto"/>
              <w:right w:val="single" w:sz="4" w:space="0" w:color="auto"/>
            </w:tcBorders>
            <w:noWrap/>
            <w:vAlign w:val="bottom"/>
            <w:hideMark/>
          </w:tcPr>
          <w:p w14:paraId="0954DCF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33,79</w:t>
            </w:r>
          </w:p>
        </w:tc>
        <w:tc>
          <w:tcPr>
            <w:tcW w:w="1060" w:type="dxa"/>
            <w:tcBorders>
              <w:top w:val="nil"/>
              <w:left w:val="nil"/>
              <w:bottom w:val="single" w:sz="4" w:space="0" w:color="auto"/>
              <w:right w:val="single" w:sz="4" w:space="0" w:color="auto"/>
            </w:tcBorders>
            <w:noWrap/>
            <w:vAlign w:val="bottom"/>
            <w:hideMark/>
          </w:tcPr>
          <w:p w14:paraId="17ADF2B5"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10,15</w:t>
            </w:r>
          </w:p>
        </w:tc>
        <w:tc>
          <w:tcPr>
            <w:tcW w:w="1060" w:type="dxa"/>
            <w:tcBorders>
              <w:top w:val="nil"/>
              <w:left w:val="nil"/>
              <w:bottom w:val="single" w:sz="4" w:space="0" w:color="auto"/>
              <w:right w:val="single" w:sz="4" w:space="0" w:color="auto"/>
            </w:tcBorders>
            <w:noWrap/>
            <w:vAlign w:val="bottom"/>
            <w:hideMark/>
          </w:tcPr>
          <w:p w14:paraId="0744D0B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6,63</w:t>
            </w:r>
          </w:p>
        </w:tc>
        <w:tc>
          <w:tcPr>
            <w:tcW w:w="1060" w:type="dxa"/>
            <w:tcBorders>
              <w:top w:val="nil"/>
              <w:left w:val="nil"/>
              <w:bottom w:val="single" w:sz="4" w:space="0" w:color="auto"/>
              <w:right w:val="single" w:sz="4" w:space="0" w:color="auto"/>
            </w:tcBorders>
            <w:noWrap/>
            <w:vAlign w:val="bottom"/>
            <w:hideMark/>
          </w:tcPr>
          <w:p w14:paraId="7607B07A"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7,72</w:t>
            </w:r>
          </w:p>
        </w:tc>
      </w:tr>
      <w:tr w:rsidR="00D22019" w:rsidRPr="001F4DD3" w14:paraId="590F3A09"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437D7A8C"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New Zealand</w:t>
            </w:r>
          </w:p>
        </w:tc>
        <w:tc>
          <w:tcPr>
            <w:tcW w:w="1060" w:type="dxa"/>
            <w:tcBorders>
              <w:top w:val="nil"/>
              <w:left w:val="nil"/>
              <w:bottom w:val="single" w:sz="4" w:space="0" w:color="auto"/>
              <w:right w:val="single" w:sz="4" w:space="0" w:color="auto"/>
            </w:tcBorders>
            <w:noWrap/>
            <w:vAlign w:val="bottom"/>
            <w:hideMark/>
          </w:tcPr>
          <w:p w14:paraId="3FD324A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1,50</w:t>
            </w:r>
          </w:p>
        </w:tc>
        <w:tc>
          <w:tcPr>
            <w:tcW w:w="1060" w:type="dxa"/>
            <w:tcBorders>
              <w:top w:val="nil"/>
              <w:left w:val="nil"/>
              <w:bottom w:val="single" w:sz="4" w:space="0" w:color="auto"/>
              <w:right w:val="single" w:sz="4" w:space="0" w:color="auto"/>
            </w:tcBorders>
            <w:noWrap/>
            <w:vAlign w:val="bottom"/>
            <w:hideMark/>
          </w:tcPr>
          <w:p w14:paraId="2232D631"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-1,72</w:t>
            </w:r>
          </w:p>
        </w:tc>
        <w:tc>
          <w:tcPr>
            <w:tcW w:w="1060" w:type="dxa"/>
            <w:tcBorders>
              <w:top w:val="nil"/>
              <w:left w:val="nil"/>
              <w:bottom w:val="single" w:sz="4" w:space="0" w:color="auto"/>
              <w:right w:val="single" w:sz="4" w:space="0" w:color="auto"/>
            </w:tcBorders>
            <w:noWrap/>
            <w:vAlign w:val="bottom"/>
            <w:hideMark/>
          </w:tcPr>
          <w:p w14:paraId="134FEB5F"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2,60</w:t>
            </w:r>
          </w:p>
        </w:tc>
        <w:tc>
          <w:tcPr>
            <w:tcW w:w="1060" w:type="dxa"/>
            <w:tcBorders>
              <w:top w:val="nil"/>
              <w:left w:val="nil"/>
              <w:bottom w:val="single" w:sz="4" w:space="0" w:color="auto"/>
              <w:right w:val="single" w:sz="4" w:space="0" w:color="auto"/>
            </w:tcBorders>
            <w:noWrap/>
            <w:vAlign w:val="bottom"/>
            <w:hideMark/>
          </w:tcPr>
          <w:p w14:paraId="7C055F9E"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10,62</w:t>
            </w:r>
          </w:p>
        </w:tc>
        <w:tc>
          <w:tcPr>
            <w:tcW w:w="1060" w:type="dxa"/>
            <w:tcBorders>
              <w:top w:val="nil"/>
              <w:left w:val="nil"/>
              <w:bottom w:val="single" w:sz="4" w:space="0" w:color="auto"/>
              <w:right w:val="single" w:sz="4" w:space="0" w:color="auto"/>
            </w:tcBorders>
            <w:noWrap/>
            <w:vAlign w:val="bottom"/>
            <w:hideMark/>
          </w:tcPr>
          <w:p w14:paraId="753234DE"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1,86</w:t>
            </w:r>
          </w:p>
        </w:tc>
        <w:tc>
          <w:tcPr>
            <w:tcW w:w="1060" w:type="dxa"/>
            <w:tcBorders>
              <w:top w:val="nil"/>
              <w:left w:val="nil"/>
              <w:bottom w:val="single" w:sz="4" w:space="0" w:color="auto"/>
              <w:right w:val="single" w:sz="4" w:space="0" w:color="auto"/>
            </w:tcBorders>
            <w:noWrap/>
            <w:vAlign w:val="bottom"/>
            <w:hideMark/>
          </w:tcPr>
          <w:p w14:paraId="22232E3F"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2,08</w:t>
            </w:r>
          </w:p>
        </w:tc>
        <w:tc>
          <w:tcPr>
            <w:tcW w:w="1060" w:type="dxa"/>
            <w:tcBorders>
              <w:top w:val="nil"/>
              <w:left w:val="nil"/>
              <w:bottom w:val="single" w:sz="4" w:space="0" w:color="auto"/>
              <w:right w:val="single" w:sz="4" w:space="0" w:color="auto"/>
            </w:tcBorders>
            <w:noWrap/>
            <w:vAlign w:val="bottom"/>
            <w:hideMark/>
          </w:tcPr>
          <w:p w14:paraId="3AB1FBA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2,62</w:t>
            </w:r>
          </w:p>
        </w:tc>
      </w:tr>
      <w:tr w:rsidR="00D22019" w:rsidRPr="001F4DD3" w14:paraId="17CF2D82"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38325059"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Mexico</w:t>
            </w:r>
          </w:p>
        </w:tc>
        <w:tc>
          <w:tcPr>
            <w:tcW w:w="1060" w:type="dxa"/>
            <w:tcBorders>
              <w:top w:val="nil"/>
              <w:left w:val="nil"/>
              <w:bottom w:val="single" w:sz="4" w:space="0" w:color="auto"/>
              <w:right w:val="single" w:sz="4" w:space="0" w:color="auto"/>
            </w:tcBorders>
            <w:noWrap/>
            <w:vAlign w:val="bottom"/>
            <w:hideMark/>
          </w:tcPr>
          <w:p w14:paraId="7D414171"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0,32</w:t>
            </w:r>
          </w:p>
        </w:tc>
        <w:tc>
          <w:tcPr>
            <w:tcW w:w="1060" w:type="dxa"/>
            <w:tcBorders>
              <w:top w:val="nil"/>
              <w:left w:val="nil"/>
              <w:bottom w:val="single" w:sz="4" w:space="0" w:color="auto"/>
              <w:right w:val="single" w:sz="4" w:space="0" w:color="auto"/>
            </w:tcBorders>
            <w:noWrap/>
            <w:vAlign w:val="bottom"/>
            <w:hideMark/>
          </w:tcPr>
          <w:p w14:paraId="4B788775"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-45,20</w:t>
            </w:r>
          </w:p>
        </w:tc>
        <w:tc>
          <w:tcPr>
            <w:tcW w:w="1060" w:type="dxa"/>
            <w:tcBorders>
              <w:top w:val="nil"/>
              <w:left w:val="nil"/>
              <w:bottom w:val="single" w:sz="4" w:space="0" w:color="auto"/>
              <w:right w:val="single" w:sz="4" w:space="0" w:color="auto"/>
            </w:tcBorders>
            <w:noWrap/>
            <w:vAlign w:val="bottom"/>
            <w:hideMark/>
          </w:tcPr>
          <w:p w14:paraId="69F173A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33,62</w:t>
            </w:r>
          </w:p>
        </w:tc>
        <w:tc>
          <w:tcPr>
            <w:tcW w:w="1060" w:type="dxa"/>
            <w:tcBorders>
              <w:top w:val="nil"/>
              <w:left w:val="nil"/>
              <w:bottom w:val="single" w:sz="4" w:space="0" w:color="auto"/>
              <w:right w:val="single" w:sz="4" w:space="0" w:color="auto"/>
            </w:tcBorders>
            <w:noWrap/>
            <w:vAlign w:val="bottom"/>
            <w:hideMark/>
          </w:tcPr>
          <w:p w14:paraId="6EEE0FC6"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6,93</w:t>
            </w:r>
          </w:p>
        </w:tc>
        <w:tc>
          <w:tcPr>
            <w:tcW w:w="1060" w:type="dxa"/>
            <w:tcBorders>
              <w:top w:val="nil"/>
              <w:left w:val="nil"/>
              <w:bottom w:val="single" w:sz="4" w:space="0" w:color="auto"/>
              <w:right w:val="single" w:sz="4" w:space="0" w:color="auto"/>
            </w:tcBorders>
            <w:noWrap/>
            <w:vAlign w:val="bottom"/>
            <w:hideMark/>
          </w:tcPr>
          <w:p w14:paraId="3DE01DC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262,31</w:t>
            </w:r>
          </w:p>
        </w:tc>
        <w:tc>
          <w:tcPr>
            <w:tcW w:w="1060" w:type="dxa"/>
            <w:tcBorders>
              <w:top w:val="nil"/>
              <w:left w:val="nil"/>
              <w:bottom w:val="single" w:sz="4" w:space="0" w:color="auto"/>
              <w:right w:val="single" w:sz="4" w:space="0" w:color="auto"/>
            </w:tcBorders>
            <w:noWrap/>
            <w:vAlign w:val="bottom"/>
            <w:hideMark/>
          </w:tcPr>
          <w:p w14:paraId="59E36F6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1,36</w:t>
            </w:r>
          </w:p>
        </w:tc>
        <w:tc>
          <w:tcPr>
            <w:tcW w:w="1060" w:type="dxa"/>
            <w:tcBorders>
              <w:top w:val="nil"/>
              <w:left w:val="nil"/>
              <w:bottom w:val="single" w:sz="4" w:space="0" w:color="auto"/>
              <w:right w:val="single" w:sz="4" w:space="0" w:color="auto"/>
            </w:tcBorders>
            <w:noWrap/>
            <w:vAlign w:val="bottom"/>
            <w:hideMark/>
          </w:tcPr>
          <w:p w14:paraId="0536866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0,48</w:t>
            </w:r>
          </w:p>
        </w:tc>
      </w:tr>
      <w:tr w:rsidR="00D22019" w:rsidRPr="001F4DD3" w14:paraId="6742510B"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02119305"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Chile</w:t>
            </w:r>
          </w:p>
        </w:tc>
        <w:tc>
          <w:tcPr>
            <w:tcW w:w="1060" w:type="dxa"/>
            <w:tcBorders>
              <w:top w:val="nil"/>
              <w:left w:val="nil"/>
              <w:bottom w:val="single" w:sz="4" w:space="0" w:color="auto"/>
              <w:right w:val="single" w:sz="4" w:space="0" w:color="auto"/>
            </w:tcBorders>
            <w:noWrap/>
            <w:vAlign w:val="bottom"/>
            <w:hideMark/>
          </w:tcPr>
          <w:p w14:paraId="7741E288"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0,62</w:t>
            </w:r>
          </w:p>
        </w:tc>
        <w:tc>
          <w:tcPr>
            <w:tcW w:w="1060" w:type="dxa"/>
            <w:tcBorders>
              <w:top w:val="nil"/>
              <w:left w:val="nil"/>
              <w:bottom w:val="single" w:sz="4" w:space="0" w:color="auto"/>
              <w:right w:val="single" w:sz="4" w:space="0" w:color="auto"/>
            </w:tcBorders>
            <w:noWrap/>
            <w:vAlign w:val="bottom"/>
            <w:hideMark/>
          </w:tcPr>
          <w:p w14:paraId="359C72B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50,74</w:t>
            </w:r>
          </w:p>
        </w:tc>
        <w:tc>
          <w:tcPr>
            <w:tcW w:w="1060" w:type="dxa"/>
            <w:tcBorders>
              <w:top w:val="nil"/>
              <w:left w:val="nil"/>
              <w:bottom w:val="single" w:sz="4" w:space="0" w:color="auto"/>
              <w:right w:val="single" w:sz="4" w:space="0" w:color="auto"/>
            </w:tcBorders>
            <w:noWrap/>
            <w:vAlign w:val="bottom"/>
            <w:hideMark/>
          </w:tcPr>
          <w:p w14:paraId="4DE8E7D0"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271,10</w:t>
            </w:r>
          </w:p>
        </w:tc>
        <w:tc>
          <w:tcPr>
            <w:tcW w:w="1060" w:type="dxa"/>
            <w:tcBorders>
              <w:top w:val="nil"/>
              <w:left w:val="nil"/>
              <w:bottom w:val="single" w:sz="4" w:space="0" w:color="auto"/>
              <w:right w:val="single" w:sz="4" w:space="0" w:color="auto"/>
            </w:tcBorders>
            <w:noWrap/>
            <w:vAlign w:val="bottom"/>
            <w:hideMark/>
          </w:tcPr>
          <w:p w14:paraId="7B11E589"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4,74</w:t>
            </w:r>
          </w:p>
        </w:tc>
        <w:tc>
          <w:tcPr>
            <w:tcW w:w="1060" w:type="dxa"/>
            <w:tcBorders>
              <w:top w:val="nil"/>
              <w:left w:val="nil"/>
              <w:bottom w:val="single" w:sz="4" w:space="0" w:color="auto"/>
              <w:right w:val="single" w:sz="4" w:space="0" w:color="auto"/>
            </w:tcBorders>
            <w:noWrap/>
            <w:vAlign w:val="bottom"/>
            <w:hideMark/>
          </w:tcPr>
          <w:p w14:paraId="789FA3D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38,47</w:t>
            </w:r>
          </w:p>
        </w:tc>
        <w:tc>
          <w:tcPr>
            <w:tcW w:w="1060" w:type="dxa"/>
            <w:tcBorders>
              <w:top w:val="nil"/>
              <w:left w:val="nil"/>
              <w:bottom w:val="single" w:sz="4" w:space="0" w:color="auto"/>
              <w:right w:val="single" w:sz="4" w:space="0" w:color="auto"/>
            </w:tcBorders>
            <w:noWrap/>
            <w:vAlign w:val="bottom"/>
            <w:hideMark/>
          </w:tcPr>
          <w:p w14:paraId="1F5D5EA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0,93</w:t>
            </w:r>
          </w:p>
        </w:tc>
        <w:tc>
          <w:tcPr>
            <w:tcW w:w="1060" w:type="dxa"/>
            <w:tcBorders>
              <w:top w:val="nil"/>
              <w:left w:val="nil"/>
              <w:bottom w:val="single" w:sz="4" w:space="0" w:color="auto"/>
              <w:right w:val="single" w:sz="4" w:space="0" w:color="auto"/>
            </w:tcBorders>
            <w:noWrap/>
            <w:vAlign w:val="bottom"/>
            <w:hideMark/>
          </w:tcPr>
          <w:p w14:paraId="5C05D828"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0,86</w:t>
            </w:r>
          </w:p>
        </w:tc>
      </w:tr>
      <w:tr w:rsidR="00D22019" w:rsidRPr="001F4DD3" w14:paraId="25046A56"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762BFD04"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Bru-nây</w:t>
            </w:r>
          </w:p>
        </w:tc>
        <w:tc>
          <w:tcPr>
            <w:tcW w:w="1060" w:type="dxa"/>
            <w:tcBorders>
              <w:top w:val="nil"/>
              <w:left w:val="nil"/>
              <w:bottom w:val="single" w:sz="4" w:space="0" w:color="auto"/>
              <w:right w:val="single" w:sz="4" w:space="0" w:color="auto"/>
            </w:tcBorders>
            <w:noWrap/>
            <w:vAlign w:val="bottom"/>
            <w:hideMark/>
          </w:tcPr>
          <w:p w14:paraId="1096837C"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0,04</w:t>
            </w:r>
          </w:p>
        </w:tc>
        <w:tc>
          <w:tcPr>
            <w:tcW w:w="1060" w:type="dxa"/>
            <w:tcBorders>
              <w:top w:val="nil"/>
              <w:left w:val="nil"/>
              <w:bottom w:val="single" w:sz="4" w:space="0" w:color="auto"/>
              <w:right w:val="single" w:sz="4" w:space="0" w:color="auto"/>
            </w:tcBorders>
            <w:noWrap/>
            <w:vAlign w:val="bottom"/>
            <w:hideMark/>
          </w:tcPr>
          <w:p w14:paraId="793ED76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-37,10</w:t>
            </w:r>
          </w:p>
        </w:tc>
        <w:tc>
          <w:tcPr>
            <w:tcW w:w="1060" w:type="dxa"/>
            <w:tcBorders>
              <w:top w:val="nil"/>
              <w:left w:val="nil"/>
              <w:bottom w:val="single" w:sz="4" w:space="0" w:color="auto"/>
              <w:right w:val="single" w:sz="4" w:space="0" w:color="auto"/>
            </w:tcBorders>
            <w:noWrap/>
            <w:vAlign w:val="bottom"/>
            <w:hideMark/>
          </w:tcPr>
          <w:p w14:paraId="7ADB7751"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-38,69</w:t>
            </w:r>
          </w:p>
        </w:tc>
        <w:tc>
          <w:tcPr>
            <w:tcW w:w="1060" w:type="dxa"/>
            <w:tcBorders>
              <w:top w:val="nil"/>
              <w:left w:val="nil"/>
              <w:bottom w:val="single" w:sz="4" w:space="0" w:color="auto"/>
              <w:right w:val="single" w:sz="4" w:space="0" w:color="auto"/>
            </w:tcBorders>
            <w:noWrap/>
            <w:vAlign w:val="bottom"/>
            <w:hideMark/>
          </w:tcPr>
          <w:p w14:paraId="507D4F0B"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0,45</w:t>
            </w:r>
          </w:p>
        </w:tc>
        <w:tc>
          <w:tcPr>
            <w:tcW w:w="1060" w:type="dxa"/>
            <w:tcBorders>
              <w:top w:val="nil"/>
              <w:left w:val="nil"/>
              <w:bottom w:val="single" w:sz="4" w:space="0" w:color="auto"/>
              <w:right w:val="single" w:sz="4" w:space="0" w:color="auto"/>
            </w:tcBorders>
            <w:noWrap/>
            <w:vAlign w:val="bottom"/>
            <w:hideMark/>
          </w:tcPr>
          <w:p w14:paraId="724E3322"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49,91</w:t>
            </w:r>
          </w:p>
        </w:tc>
        <w:tc>
          <w:tcPr>
            <w:tcW w:w="1060" w:type="dxa"/>
            <w:tcBorders>
              <w:top w:val="nil"/>
              <w:left w:val="nil"/>
              <w:bottom w:val="single" w:sz="4" w:space="0" w:color="auto"/>
              <w:right w:val="single" w:sz="4" w:space="0" w:color="auto"/>
            </w:tcBorders>
            <w:noWrap/>
            <w:vAlign w:val="bottom"/>
            <w:hideMark/>
          </w:tcPr>
          <w:p w14:paraId="3D0C8CE6"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0,09</w:t>
            </w:r>
          </w:p>
        </w:tc>
        <w:tc>
          <w:tcPr>
            <w:tcW w:w="1060" w:type="dxa"/>
            <w:tcBorders>
              <w:top w:val="nil"/>
              <w:left w:val="nil"/>
              <w:bottom w:val="single" w:sz="4" w:space="0" w:color="auto"/>
              <w:right w:val="single" w:sz="4" w:space="0" w:color="auto"/>
            </w:tcBorders>
            <w:noWrap/>
            <w:vAlign w:val="bottom"/>
            <w:hideMark/>
          </w:tcPr>
          <w:p w14:paraId="25861C9D"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0,08</w:t>
            </w:r>
          </w:p>
        </w:tc>
      </w:tr>
      <w:tr w:rsidR="00D22019" w:rsidRPr="001F4DD3" w14:paraId="77CCE709"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35701AAB" w14:textId="77777777" w:rsidR="00D22019" w:rsidRPr="001F4DD3" w:rsidRDefault="00D22019" w:rsidP="00251FA6">
            <w:pPr>
              <w:spacing w:before="120" w:after="120" w:line="276" w:lineRule="auto"/>
              <w:rPr>
                <w:color w:val="000000" w:themeColor="text1"/>
                <w:szCs w:val="28"/>
              </w:rPr>
            </w:pPr>
            <w:r w:rsidRPr="001F4DD3">
              <w:rPr>
                <w:color w:val="000000" w:themeColor="text1"/>
                <w:szCs w:val="28"/>
              </w:rPr>
              <w:t>Peru</w:t>
            </w:r>
          </w:p>
        </w:tc>
        <w:tc>
          <w:tcPr>
            <w:tcW w:w="1060" w:type="dxa"/>
            <w:tcBorders>
              <w:top w:val="nil"/>
              <w:left w:val="nil"/>
              <w:bottom w:val="single" w:sz="4" w:space="0" w:color="auto"/>
              <w:right w:val="single" w:sz="4" w:space="0" w:color="auto"/>
            </w:tcBorders>
            <w:noWrap/>
            <w:vAlign w:val="bottom"/>
            <w:hideMark/>
          </w:tcPr>
          <w:p w14:paraId="28BBD928"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w:t>
            </w:r>
          </w:p>
        </w:tc>
        <w:tc>
          <w:tcPr>
            <w:tcW w:w="1060" w:type="dxa"/>
            <w:tcBorders>
              <w:top w:val="nil"/>
              <w:left w:val="nil"/>
              <w:bottom w:val="single" w:sz="4" w:space="0" w:color="auto"/>
              <w:right w:val="single" w:sz="4" w:space="0" w:color="auto"/>
            </w:tcBorders>
            <w:noWrap/>
            <w:vAlign w:val="bottom"/>
            <w:hideMark/>
          </w:tcPr>
          <w:p w14:paraId="49868E80"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-100</w:t>
            </w:r>
          </w:p>
        </w:tc>
        <w:tc>
          <w:tcPr>
            <w:tcW w:w="1060" w:type="dxa"/>
            <w:tcBorders>
              <w:top w:val="nil"/>
              <w:left w:val="nil"/>
              <w:bottom w:val="single" w:sz="4" w:space="0" w:color="auto"/>
              <w:right w:val="single" w:sz="4" w:space="0" w:color="auto"/>
            </w:tcBorders>
            <w:noWrap/>
            <w:vAlign w:val="bottom"/>
            <w:hideMark/>
          </w:tcPr>
          <w:p w14:paraId="4A159C77"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-100</w:t>
            </w:r>
          </w:p>
        </w:tc>
        <w:tc>
          <w:tcPr>
            <w:tcW w:w="1060" w:type="dxa"/>
            <w:tcBorders>
              <w:top w:val="nil"/>
              <w:left w:val="nil"/>
              <w:bottom w:val="single" w:sz="4" w:space="0" w:color="auto"/>
              <w:right w:val="single" w:sz="4" w:space="0" w:color="auto"/>
            </w:tcBorders>
            <w:noWrap/>
            <w:vAlign w:val="bottom"/>
            <w:hideMark/>
          </w:tcPr>
          <w:p w14:paraId="3A206483"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0,34</w:t>
            </w:r>
          </w:p>
        </w:tc>
        <w:tc>
          <w:tcPr>
            <w:tcW w:w="1060" w:type="dxa"/>
            <w:tcBorders>
              <w:top w:val="nil"/>
              <w:left w:val="nil"/>
              <w:bottom w:val="single" w:sz="4" w:space="0" w:color="auto"/>
              <w:right w:val="single" w:sz="4" w:space="0" w:color="auto"/>
            </w:tcBorders>
            <w:noWrap/>
            <w:vAlign w:val="bottom"/>
            <w:hideMark/>
          </w:tcPr>
          <w:p w14:paraId="07BCC2EB"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-73,68</w:t>
            </w:r>
          </w:p>
        </w:tc>
        <w:tc>
          <w:tcPr>
            <w:tcW w:w="1060" w:type="dxa"/>
            <w:tcBorders>
              <w:top w:val="nil"/>
              <w:left w:val="nil"/>
              <w:bottom w:val="single" w:sz="4" w:space="0" w:color="auto"/>
              <w:right w:val="single" w:sz="4" w:space="0" w:color="auto"/>
            </w:tcBorders>
            <w:noWrap/>
            <w:vAlign w:val="bottom"/>
            <w:hideMark/>
          </w:tcPr>
          <w:p w14:paraId="6F8E763A"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0,07</w:t>
            </w:r>
          </w:p>
        </w:tc>
        <w:tc>
          <w:tcPr>
            <w:tcW w:w="1060" w:type="dxa"/>
            <w:tcBorders>
              <w:top w:val="nil"/>
              <w:left w:val="nil"/>
              <w:bottom w:val="single" w:sz="4" w:space="0" w:color="auto"/>
              <w:right w:val="single" w:sz="4" w:space="0" w:color="auto"/>
            </w:tcBorders>
            <w:noWrap/>
            <w:vAlign w:val="bottom"/>
            <w:hideMark/>
          </w:tcPr>
          <w:p w14:paraId="475A8C80" w14:textId="77777777" w:rsidR="00D22019" w:rsidRPr="001F4DD3" w:rsidRDefault="00D22019" w:rsidP="00251FA6">
            <w:pPr>
              <w:spacing w:before="120" w:after="120" w:line="276" w:lineRule="auto"/>
              <w:jc w:val="center"/>
              <w:rPr>
                <w:color w:val="000000" w:themeColor="text1"/>
                <w:szCs w:val="28"/>
              </w:rPr>
            </w:pPr>
            <w:r w:rsidRPr="001F4DD3">
              <w:rPr>
                <w:color w:val="000000" w:themeColor="text1"/>
                <w:szCs w:val="28"/>
              </w:rPr>
              <w:t>0,32</w:t>
            </w:r>
          </w:p>
        </w:tc>
      </w:tr>
    </w:tbl>
    <w:p w14:paraId="0AC82AA0" w14:textId="77777777" w:rsidR="00D22019" w:rsidRPr="001F4DD3" w:rsidRDefault="00D22019" w:rsidP="00251FA6">
      <w:pPr>
        <w:spacing w:before="120" w:after="120" w:line="276" w:lineRule="auto"/>
        <w:jc w:val="right"/>
        <w:rPr>
          <w:bCs/>
          <w:i/>
          <w:color w:val="000000" w:themeColor="text1"/>
          <w:szCs w:val="28"/>
        </w:rPr>
      </w:pPr>
      <w:r w:rsidRPr="001F4DD3">
        <w:rPr>
          <w:rFonts w:hint="eastAsia"/>
          <w:bCs/>
          <w:i/>
          <w:color w:val="000000" w:themeColor="text1"/>
          <w:szCs w:val="28"/>
        </w:rPr>
        <w:t xml:space="preserve">Nguồn </w:t>
      </w:r>
      <w:r w:rsidRPr="001F4DD3">
        <w:rPr>
          <w:bCs/>
          <w:i/>
          <w:color w:val="000000" w:themeColor="text1"/>
          <w:szCs w:val="28"/>
        </w:rPr>
        <w:t xml:space="preserve">: Tính toán từ số liệu của Cục Hải quan Việt Nam </w:t>
      </w:r>
    </w:p>
    <w:p w14:paraId="3C17F466" w14:textId="77777777" w:rsidR="00571D9B" w:rsidRDefault="00D22019" w:rsidP="00251FA6">
      <w:pPr>
        <w:spacing w:before="120" w:after="120" w:line="276" w:lineRule="auto"/>
        <w:rPr>
          <w:b/>
          <w:bCs/>
          <w:i/>
          <w:iCs/>
          <w:lang w:val="vi-VN"/>
        </w:rPr>
      </w:pPr>
      <w:r w:rsidRPr="00D22019">
        <w:rPr>
          <w:b/>
          <w:bCs/>
          <w:i/>
          <w:iCs/>
        </w:rPr>
        <w:t>Cơ</w:t>
      </w:r>
      <w:r w:rsidRPr="00D22019">
        <w:rPr>
          <w:b/>
          <w:bCs/>
          <w:i/>
          <w:iCs/>
          <w:lang w:val="vi-VN"/>
        </w:rPr>
        <w:t xml:space="preserve"> cấu chủng loại mặt hàng:</w:t>
      </w:r>
    </w:p>
    <w:p w14:paraId="7E07B056" w14:textId="77777777" w:rsidR="00D22019" w:rsidRPr="001F4DD3" w:rsidRDefault="00D22019" w:rsidP="00251FA6">
      <w:pPr>
        <w:spacing w:before="120" w:after="120" w:line="276" w:lineRule="auto"/>
        <w:jc w:val="both"/>
        <w:rPr>
          <w:color w:val="000000" w:themeColor="text1"/>
          <w:szCs w:val="28"/>
        </w:rPr>
      </w:pPr>
      <w:r w:rsidRPr="001F4DD3">
        <w:rPr>
          <w:color w:val="000000" w:themeColor="text1"/>
          <w:szCs w:val="28"/>
        </w:rPr>
        <w:t>Theo</w:t>
      </w:r>
      <w:r w:rsidRPr="001F4DD3">
        <w:rPr>
          <w:color w:val="000000" w:themeColor="text1"/>
          <w:szCs w:val="28"/>
          <w:lang w:val="vi-VN"/>
        </w:rPr>
        <w:t xml:space="preserve"> số liệu của Hải quan Việt Nam, </w:t>
      </w:r>
      <w:r w:rsidRPr="001F4DD3">
        <w:rPr>
          <w:color w:val="000000" w:themeColor="text1"/>
          <w:szCs w:val="28"/>
        </w:rPr>
        <w:t>cơ cấu chủng loại rau quả xuất khẩu của Việt Nam sang các thị trường CPTPP trong tháng 9 và 9 tháng đầu năm 2025 cho thấy bức tranh tăng trưởng tương đối cân bằng giữa các nhóm hàng, đồng thời thể</w:t>
      </w:r>
      <w:r w:rsidRPr="001F4DD3">
        <w:rPr>
          <w:color w:val="000000" w:themeColor="text1"/>
          <w:szCs w:val="28"/>
          <w:lang w:val="vi-VN"/>
        </w:rPr>
        <w:t xml:space="preserve"> </w:t>
      </w:r>
      <w:r w:rsidRPr="001F4DD3">
        <w:rPr>
          <w:color w:val="000000" w:themeColor="text1"/>
          <w:szCs w:val="28"/>
          <w:lang w:val="vi-VN"/>
        </w:rPr>
        <w:lastRenderedPageBreak/>
        <w:t xml:space="preserve">hiện </w:t>
      </w:r>
      <w:r w:rsidRPr="001F4DD3">
        <w:rPr>
          <w:color w:val="000000" w:themeColor="text1"/>
          <w:szCs w:val="28"/>
        </w:rPr>
        <w:t>xu hướng chuyển dịch tích cực trong cơ cấu xuất khẩu của ngành. Mặc dù có những biến động ngắn hạn về kim ngạch theo tháng, song nhìn chung, hầu hết các nhóm hàng đều ghi nhận mức tăng trưởng so với cùng kỳ năm trước, thể hiện khả năng thích ứng linh hoạt và sự mở rộng thị phần hiệu quả của doanh nghiệp Việt Nam tại khối thị trường CPTPP.</w:t>
      </w:r>
    </w:p>
    <w:p w14:paraId="0804D7CB" w14:textId="77777777" w:rsidR="00D22019" w:rsidRDefault="00D22019" w:rsidP="00251FA6">
      <w:pPr>
        <w:spacing w:before="120" w:after="120" w:line="276" w:lineRule="auto"/>
        <w:jc w:val="both"/>
        <w:rPr>
          <w:color w:val="000000" w:themeColor="text1"/>
          <w:szCs w:val="28"/>
        </w:rPr>
      </w:pPr>
      <w:r w:rsidRPr="001F4DD3">
        <w:rPr>
          <w:color w:val="000000" w:themeColor="text1"/>
          <w:szCs w:val="28"/>
        </w:rPr>
        <w:t>Dẫn đầu về kim ngạch xuất khẩu là nhóm quả và quả hạch, đạt 22,79 triệu USD trong tháng 9/2025, giảm 11,53% so với tháng trước nhưng vẫn tăng 26,13% so với cùng tháng năm 2024. Lũy kế 9 tháng đầu năm, nhóm hàng này đạt 204,88 triệu USD, tăng 25,17% so với cùng kỳ, chiếm 40,21% tổng kim ngạch rau quả xuất khẩu sang CPTPP. Dù tỷ trọng giảm nhẹ so với mức 41,17% của cùng kỳ năm trước, nhóm hàng này vẫn giữ vai trò chủ lực trong xuất khẩu rau quả của Việt Nam nhờ nhu cầu ổn định đối với các loại trái cây nhiệt đới như xoài, thanh long, nhãn, dừa, chuối và sầu riêng. Sự tăng trưởng mạnh của nhóm này cho thấy năng lực đáp ứng tiêu chuẩn chất lượng, truy xuất nguồn gốc và bảo quản sau thu hoạch của doanh nghiệp Việt Nam đã được cải thiện đáng kể, giúp sản phẩm trái cây Việt Nam duy trì vị thế cạnh tranh tại các thị trường có yêu cầu cao như Nhật Bản, Úc và Canada.</w:t>
      </w:r>
    </w:p>
    <w:p w14:paraId="3CD746A9" w14:textId="77777777" w:rsidR="00D22019" w:rsidRDefault="00D22019" w:rsidP="00251FA6">
      <w:pPr>
        <w:spacing w:before="120" w:after="120" w:line="276" w:lineRule="auto"/>
        <w:jc w:val="center"/>
        <w:rPr>
          <w:b/>
          <w:color w:val="000000" w:themeColor="text1"/>
          <w:spacing w:val="-4"/>
          <w:szCs w:val="28"/>
        </w:rPr>
      </w:pPr>
      <w:bookmarkStart w:id="1" w:name="_Toc213853289"/>
      <w:r w:rsidRPr="001F4DD3">
        <w:rPr>
          <w:b/>
          <w:bCs/>
          <w:color w:val="000000" w:themeColor="text1"/>
          <w:spacing w:val="-4"/>
          <w:szCs w:val="28"/>
          <w:lang w:val="vi-VN"/>
        </w:rPr>
        <w:t>Biểu đồ</w:t>
      </w:r>
      <w:r w:rsidRPr="001F4DD3">
        <w:rPr>
          <w:b/>
          <w:color w:val="000000" w:themeColor="text1"/>
          <w:spacing w:val="-4"/>
          <w:szCs w:val="28"/>
          <w:lang w:val="vi-VN"/>
        </w:rPr>
        <w:t>:</w:t>
      </w:r>
      <w:r w:rsidRPr="001F4DD3">
        <w:rPr>
          <w:b/>
          <w:noProof/>
          <w:color w:val="000000" w:themeColor="text1"/>
          <w:spacing w:val="-4"/>
          <w:szCs w:val="28"/>
          <w:lang w:val="vi-VN"/>
        </w:rPr>
        <w:t xml:space="preserve"> </w:t>
      </w:r>
      <w:r w:rsidRPr="001F4DD3">
        <w:rPr>
          <w:b/>
          <w:color w:val="000000" w:themeColor="text1"/>
          <w:spacing w:val="-4"/>
          <w:szCs w:val="28"/>
          <w:lang w:val="vi-VN"/>
        </w:rPr>
        <w:t xml:space="preserve">Cơ cấu </w:t>
      </w:r>
      <w:r w:rsidRPr="001F4DD3">
        <w:rPr>
          <w:b/>
          <w:color w:val="000000" w:themeColor="text1"/>
          <w:spacing w:val="-4"/>
          <w:szCs w:val="28"/>
        </w:rPr>
        <w:t>chủng loại mặt hàng rau quả của Việt Nam xuất khẩu sang các nước thuộc CPTPP</w:t>
      </w:r>
      <w:r w:rsidRPr="001F4DD3">
        <w:rPr>
          <w:b/>
          <w:color w:val="000000" w:themeColor="text1"/>
          <w:spacing w:val="-4"/>
          <w:szCs w:val="28"/>
          <w:lang w:val="vi-VN"/>
        </w:rPr>
        <w:t xml:space="preserve"> trong tháng 09 tháng đầu năm 202</w:t>
      </w:r>
      <w:r w:rsidRPr="001F4DD3">
        <w:rPr>
          <w:b/>
          <w:color w:val="000000" w:themeColor="text1"/>
          <w:spacing w:val="-4"/>
          <w:szCs w:val="28"/>
        </w:rPr>
        <w:t xml:space="preserve">5 </w:t>
      </w:r>
    </w:p>
    <w:p w14:paraId="0FFD027B" w14:textId="67CC3011" w:rsidR="00D22019" w:rsidRDefault="00D22019" w:rsidP="00251FA6">
      <w:pPr>
        <w:spacing w:before="120" w:after="120" w:line="276" w:lineRule="auto"/>
        <w:jc w:val="center"/>
        <w:rPr>
          <w:b/>
          <w:color w:val="000000" w:themeColor="text1"/>
          <w:spacing w:val="-4"/>
          <w:szCs w:val="28"/>
        </w:rPr>
      </w:pPr>
      <w:r w:rsidRPr="001F4DD3">
        <w:rPr>
          <w:b/>
          <w:color w:val="000000" w:themeColor="text1"/>
          <w:spacing w:val="-4"/>
          <w:szCs w:val="28"/>
          <w:lang w:val="vi-VN"/>
        </w:rPr>
        <w:t>(% tính theo trị giá)</w:t>
      </w:r>
      <w:bookmarkEnd w:id="1"/>
    </w:p>
    <w:p w14:paraId="4C3F92F0" w14:textId="77777777" w:rsidR="00251FA6" w:rsidRPr="00251FA6" w:rsidRDefault="00251FA6" w:rsidP="00251FA6">
      <w:pPr>
        <w:spacing w:before="120" w:after="120" w:line="276" w:lineRule="auto"/>
        <w:jc w:val="center"/>
        <w:rPr>
          <w:b/>
          <w:color w:val="000000" w:themeColor="text1"/>
          <w:spacing w:val="-4"/>
          <w:szCs w:val="28"/>
        </w:rPr>
      </w:pPr>
    </w:p>
    <w:p w14:paraId="7854E85F" w14:textId="77777777" w:rsidR="00D22019" w:rsidRPr="001F4DD3" w:rsidRDefault="00D22019" w:rsidP="00251FA6">
      <w:pPr>
        <w:spacing w:before="120" w:after="120" w:line="276" w:lineRule="auto"/>
        <w:jc w:val="center"/>
        <w:rPr>
          <w:b/>
          <w:bCs/>
          <w:color w:val="000000" w:themeColor="text1"/>
          <w:szCs w:val="28"/>
          <w:lang w:val="vi-VN"/>
        </w:rPr>
      </w:pPr>
      <w:r w:rsidRPr="001F4DD3">
        <w:rPr>
          <w:noProof/>
          <w:color w:val="000000" w:themeColor="text1"/>
        </w:rPr>
        <w:drawing>
          <wp:inline distT="0" distB="0" distL="0" distR="0" wp14:anchorId="4AB0BDD2" wp14:editId="24E84AA6">
            <wp:extent cx="3695307" cy="3123306"/>
            <wp:effectExtent l="0" t="0" r="635" b="1270"/>
            <wp:docPr id="1916543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3667" name=""/>
                    <pic:cNvPicPr/>
                  </pic:nvPicPr>
                  <pic:blipFill>
                    <a:blip r:embed="rId5"/>
                    <a:stretch>
                      <a:fillRect/>
                    </a:stretch>
                  </pic:blipFill>
                  <pic:spPr>
                    <a:xfrm>
                      <a:off x="0" y="0"/>
                      <a:ext cx="3700106" cy="3127362"/>
                    </a:xfrm>
                    <a:prstGeom prst="rect">
                      <a:avLst/>
                    </a:prstGeom>
                  </pic:spPr>
                </pic:pic>
              </a:graphicData>
            </a:graphic>
          </wp:inline>
        </w:drawing>
      </w:r>
    </w:p>
    <w:p w14:paraId="6C636D7C" w14:textId="57C9FB30" w:rsidR="00D22019" w:rsidRPr="00E03F15" w:rsidRDefault="00E03F15" w:rsidP="00251FA6">
      <w:pPr>
        <w:spacing w:before="120" w:after="120" w:line="276" w:lineRule="auto"/>
        <w:jc w:val="right"/>
        <w:rPr>
          <w:i/>
          <w:iCs/>
          <w:color w:val="000000" w:themeColor="text1"/>
          <w:szCs w:val="28"/>
          <w:lang w:val="vi-VN"/>
        </w:rPr>
      </w:pPr>
      <w:r w:rsidRPr="00E03F15">
        <w:rPr>
          <w:i/>
          <w:iCs/>
          <w:color w:val="000000" w:themeColor="text1"/>
          <w:szCs w:val="28"/>
        </w:rPr>
        <w:t>Nguồn</w:t>
      </w:r>
      <w:r w:rsidRPr="00E03F15">
        <w:rPr>
          <w:i/>
          <w:iCs/>
          <w:color w:val="000000" w:themeColor="text1"/>
          <w:szCs w:val="28"/>
          <w:lang w:val="vi-VN"/>
        </w:rPr>
        <w:t xml:space="preserve">: Tính toán từ số liệu của </w:t>
      </w:r>
      <w:r w:rsidR="00F25870">
        <w:rPr>
          <w:i/>
          <w:iCs/>
          <w:color w:val="000000" w:themeColor="text1"/>
          <w:szCs w:val="28"/>
        </w:rPr>
        <w:t xml:space="preserve">Cục </w:t>
      </w:r>
      <w:r w:rsidRPr="00E03F15">
        <w:rPr>
          <w:i/>
          <w:iCs/>
          <w:color w:val="000000" w:themeColor="text1"/>
          <w:szCs w:val="28"/>
          <w:lang w:val="vi-VN"/>
        </w:rPr>
        <w:t>Hải quan Việt Nam</w:t>
      </w:r>
    </w:p>
    <w:p w14:paraId="3D6C1A52" w14:textId="77777777" w:rsidR="00D22019" w:rsidRPr="00E03F15" w:rsidRDefault="00D22019" w:rsidP="00251FA6">
      <w:pPr>
        <w:spacing w:before="120" w:after="120" w:line="276" w:lineRule="auto"/>
        <w:jc w:val="both"/>
        <w:rPr>
          <w:b/>
          <w:bCs/>
          <w:i/>
          <w:iCs/>
          <w:color w:val="000000" w:themeColor="text1"/>
          <w:szCs w:val="28"/>
          <w:lang w:val="vi-VN"/>
        </w:rPr>
      </w:pPr>
      <w:r w:rsidRPr="00E03F15">
        <w:rPr>
          <w:b/>
          <w:bCs/>
          <w:i/>
          <w:iCs/>
          <w:color w:val="000000" w:themeColor="text1"/>
          <w:szCs w:val="28"/>
        </w:rPr>
        <w:lastRenderedPageBreak/>
        <w:t>Đánh</w:t>
      </w:r>
      <w:r w:rsidRPr="00E03F15">
        <w:rPr>
          <w:b/>
          <w:bCs/>
          <w:i/>
          <w:iCs/>
          <w:color w:val="000000" w:themeColor="text1"/>
          <w:szCs w:val="28"/>
          <w:lang w:val="vi-VN"/>
        </w:rPr>
        <w:t xml:space="preserve"> giá tác động của Hiệp định CPTPP:</w:t>
      </w:r>
    </w:p>
    <w:p w14:paraId="773A8165" w14:textId="77777777" w:rsidR="00D22019" w:rsidRPr="001F4DD3" w:rsidRDefault="00D22019" w:rsidP="00251FA6">
      <w:pPr>
        <w:shd w:val="clear" w:color="auto" w:fill="FFFFFF"/>
        <w:spacing w:before="120" w:after="120" w:line="276" w:lineRule="auto"/>
        <w:jc w:val="both"/>
        <w:rPr>
          <w:color w:val="000000" w:themeColor="text1"/>
          <w:szCs w:val="28"/>
          <w:shd w:val="clear" w:color="auto" w:fill="FFFFFF"/>
        </w:rPr>
      </w:pPr>
      <w:r w:rsidRPr="001F4DD3">
        <w:rPr>
          <w:color w:val="000000" w:themeColor="text1"/>
          <w:szCs w:val="28"/>
          <w:shd w:val="clear" w:color="auto" w:fill="FFFFFF"/>
        </w:rPr>
        <w:t>Trong giai đoạn 2020–2025, xuất khẩu rau quả của Việt Nam sang các thị trường thành viên CPTPP đạt trung bình 320,01 triệu USD/tháng, với tốc độ tăng trưởng bình quân 16,26%/tháng, cho thấy hiệu ứng lan tỏa mạnh mẽ của hiệp định này đối với thương mại nông sản Việt Nam. CPTPP không chỉ mở rộng cánh cửa tiếp cận cho hàng rau quả Việt Nam tới các thị trường có tiêu chuẩn cao như Nhật Bản, Canada, Úc hay Singapore, mà còn giúp doanh nghiệp Việt Nam tận dụng tốt ưu đãi thuế quan, khi hầu hết các dòng thuế đối với sản phẩm nông nghiệp đều được cắt giảm về 0% trong thời gian ngắn..</w:t>
      </w:r>
    </w:p>
    <w:p w14:paraId="1A82F615" w14:textId="77777777" w:rsidR="00D22019" w:rsidRPr="001F4DD3" w:rsidRDefault="00D22019" w:rsidP="00251FA6">
      <w:pPr>
        <w:shd w:val="clear" w:color="auto" w:fill="FFFFFF"/>
        <w:spacing w:before="120" w:after="120" w:line="276" w:lineRule="auto"/>
        <w:jc w:val="both"/>
        <w:rPr>
          <w:color w:val="000000" w:themeColor="text1"/>
          <w:szCs w:val="28"/>
          <w:shd w:val="clear" w:color="auto" w:fill="FFFFFF"/>
        </w:rPr>
      </w:pPr>
      <w:r w:rsidRPr="001F4DD3">
        <w:rPr>
          <w:color w:val="000000" w:themeColor="text1"/>
          <w:szCs w:val="28"/>
          <w:shd w:val="clear" w:color="auto" w:fill="FFFFFF"/>
        </w:rPr>
        <w:t>Cũng</w:t>
      </w:r>
      <w:r w:rsidRPr="001F4DD3">
        <w:rPr>
          <w:color w:val="000000" w:themeColor="text1"/>
          <w:szCs w:val="28"/>
          <w:shd w:val="clear" w:color="auto" w:fill="FFFFFF"/>
          <w:lang w:val="vi-VN"/>
        </w:rPr>
        <w:t xml:space="preserve"> trong giai đoạn này</w:t>
      </w:r>
      <w:r w:rsidRPr="001F4DD3">
        <w:rPr>
          <w:color w:val="000000" w:themeColor="text1"/>
          <w:szCs w:val="28"/>
          <w:shd w:val="clear" w:color="auto" w:fill="FFFFFF"/>
        </w:rPr>
        <w:t>, Hiệp định CPTPP đã trở thành một động lực then chốt thúc đẩy tăng trưởng mạnh mẽ cho xuất khẩu rau quả của Việt Nam, thể hiện rõ qua xu hướng gia tăng liên tục về kim ngạch và tốc độ tăng trưởng qua từng năm. Nếu như 9 tháng đầu năm 2020, xuất khẩu rau quả của Việt Nam sang các thị trường thành viên CPTPP mới chỉ đạt 214,8 triệu USD, thì đến 9 tháng đầu năm 2025, con số này đã tăng vọt lên 509,58 triệu USD, tức gần gấp 2,4 lần sau 5 năm. Không chỉ tăng về quy mô, tốc độ tăng trưởng của xuất khẩu rau quả trong khối cũng được cải thiện rõ rệt, từ mức 15,76% trong 9 tháng đầu năm 2020 lên 28,17% vào cùng kỳ năm 2025, cho thấy mức độ lan tỏa tích cực và bền vững của hiệp định này đối với ngành hàng rau quả.</w:t>
      </w:r>
    </w:p>
    <w:p w14:paraId="2D2736CE" w14:textId="77777777" w:rsidR="00D22019" w:rsidRPr="001F4DD3" w:rsidRDefault="00D22019" w:rsidP="00251FA6">
      <w:pPr>
        <w:shd w:val="clear" w:color="auto" w:fill="FFFFFF"/>
        <w:spacing w:before="120" w:after="120" w:line="276" w:lineRule="auto"/>
        <w:jc w:val="center"/>
        <w:rPr>
          <w:b/>
          <w:bCs/>
          <w:color w:val="000000" w:themeColor="text1"/>
          <w:szCs w:val="28"/>
        </w:rPr>
      </w:pPr>
      <w:r w:rsidRPr="001F4DD3">
        <w:rPr>
          <w:b/>
          <w:bCs/>
          <w:color w:val="000000" w:themeColor="text1"/>
          <w:szCs w:val="28"/>
        </w:rPr>
        <w:t xml:space="preserve">Biểu đồ 5: Kim ngạch xuất khẩu hàng rau quả của Việt Nam sang thị trường CPTPP trong </w:t>
      </w:r>
      <w:r w:rsidRPr="001F4DD3">
        <w:rPr>
          <w:b/>
          <w:bCs/>
          <w:color w:val="000000" w:themeColor="text1"/>
          <w:szCs w:val="28"/>
          <w:lang w:val="vi-VN"/>
        </w:rPr>
        <w:t>9</w:t>
      </w:r>
      <w:r w:rsidRPr="001F4DD3">
        <w:rPr>
          <w:b/>
          <w:bCs/>
          <w:color w:val="000000" w:themeColor="text1"/>
          <w:szCs w:val="28"/>
        </w:rPr>
        <w:t xml:space="preserve"> tháng đầu năm giai đoạn 2020 – 2025</w:t>
      </w:r>
    </w:p>
    <w:p w14:paraId="36C88524" w14:textId="45A8941D" w:rsidR="00251FA6" w:rsidRDefault="00D22019" w:rsidP="00251FA6">
      <w:pPr>
        <w:shd w:val="clear" w:color="auto" w:fill="FFFFFF"/>
        <w:spacing w:before="120" w:after="120" w:line="276" w:lineRule="auto"/>
        <w:jc w:val="center"/>
        <w:rPr>
          <w:i/>
          <w:color w:val="000000" w:themeColor="text1"/>
          <w:szCs w:val="28"/>
        </w:rPr>
      </w:pPr>
      <w:r w:rsidRPr="001F4DD3">
        <w:rPr>
          <w:noProof/>
          <w:color w:val="000000" w:themeColor="text1"/>
        </w:rPr>
        <w:drawing>
          <wp:inline distT="0" distB="0" distL="0" distR="0" wp14:anchorId="2F96EA54" wp14:editId="6924A097">
            <wp:extent cx="4751110" cy="3154683"/>
            <wp:effectExtent l="0" t="0" r="0" b="7620"/>
            <wp:docPr id="1435750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50656" name=""/>
                    <pic:cNvPicPr/>
                  </pic:nvPicPr>
                  <pic:blipFill>
                    <a:blip r:embed="rId6"/>
                    <a:stretch>
                      <a:fillRect/>
                    </a:stretch>
                  </pic:blipFill>
                  <pic:spPr>
                    <a:xfrm>
                      <a:off x="0" y="0"/>
                      <a:ext cx="4758874" cy="3159838"/>
                    </a:xfrm>
                    <a:prstGeom prst="rect">
                      <a:avLst/>
                    </a:prstGeom>
                  </pic:spPr>
                </pic:pic>
              </a:graphicData>
            </a:graphic>
          </wp:inline>
        </w:drawing>
      </w:r>
    </w:p>
    <w:p w14:paraId="546E58FF" w14:textId="3D31B3B9" w:rsidR="00D22019" w:rsidRPr="001F4DD3" w:rsidRDefault="00D22019" w:rsidP="00251FA6">
      <w:pPr>
        <w:shd w:val="clear" w:color="auto" w:fill="FFFFFF"/>
        <w:spacing w:before="120" w:after="120" w:line="276" w:lineRule="auto"/>
        <w:jc w:val="right"/>
        <w:rPr>
          <w:i/>
          <w:color w:val="000000" w:themeColor="text1"/>
          <w:szCs w:val="28"/>
        </w:rPr>
      </w:pPr>
      <w:r w:rsidRPr="001F4DD3">
        <w:rPr>
          <w:i/>
          <w:color w:val="000000" w:themeColor="text1"/>
          <w:szCs w:val="28"/>
        </w:rPr>
        <w:t xml:space="preserve">Nguồn: Tính toán từ số liệu </w:t>
      </w:r>
      <w:r w:rsidR="00F25870">
        <w:rPr>
          <w:i/>
          <w:color w:val="000000" w:themeColor="text1"/>
          <w:szCs w:val="28"/>
        </w:rPr>
        <w:t>của Cục H</w:t>
      </w:r>
      <w:r w:rsidRPr="001F4DD3">
        <w:rPr>
          <w:i/>
          <w:color w:val="000000" w:themeColor="text1"/>
          <w:szCs w:val="28"/>
        </w:rPr>
        <w:t>ải quan Việt Nam</w:t>
      </w:r>
    </w:p>
    <w:p w14:paraId="28591883" w14:textId="102A3544" w:rsidR="00D22019" w:rsidRDefault="00D22019" w:rsidP="00251FA6">
      <w:pPr>
        <w:spacing w:before="120" w:after="120" w:line="276" w:lineRule="auto"/>
        <w:jc w:val="both"/>
        <w:rPr>
          <w:color w:val="000000" w:themeColor="text1"/>
        </w:rPr>
      </w:pPr>
      <w:r w:rsidRPr="7C347B20">
        <w:rPr>
          <w:i/>
          <w:iCs/>
          <w:color w:val="000000" w:themeColor="text1"/>
          <w:lang w:val="vi-VN"/>
        </w:rPr>
        <w:lastRenderedPageBreak/>
        <w:t>Dự báo,</w:t>
      </w:r>
      <w:r w:rsidRPr="7C347B20">
        <w:rPr>
          <w:color w:val="000000" w:themeColor="text1"/>
          <w:lang w:val="vi-VN"/>
        </w:rPr>
        <w:t xml:space="preserve"> trong những tháng cuối năm 2025, xuất khẩu rau quả của Việt Nam sang các thị trường thành viên Hiệp định CPTPP sẽ tiếp tục duy trì đà tăng trưởng tích cực, nhờ sự phục hồi mạnh mẽ của nhu cầu tiêu dùng toàn cầu, đặc biệt là tại các nền kinh tế phát triển trong khối như Nhật Bản, Canada, Úc và Singapore. Bước sang quý IV, thời điểm cao điểm nhập khẩu nông sản phục vụ cho mùa lễ hội và kỳ nghỉ cuối năm, nhu cầu nhập khẩu rau quả chế biến, trái cây tươi, đặc sản nhiệt đới của Việt Nam dự kiến tăng mạnh, tạo động lực quan trọng thúc đẩy kim ngạch xuất khẩu. Các nhóm hàng như xoài, sầu riêng, chanh leo, dừa, thanh long, mít và sản phẩm rau quả chế biến nhiều khả năng sẽ tiếp tục dẫn đầu về kim ngạch, trong khi nhóm rau củ tươi được kỳ vọng tăng nhanh nhờ khả năng cung ứng ổn định và giá cả cạnh tranh.</w:t>
      </w:r>
    </w:p>
    <w:p w14:paraId="3EEB5717" w14:textId="191EAC65" w:rsidR="00251FA6" w:rsidRPr="00251FA6" w:rsidRDefault="00251FA6" w:rsidP="00251FA6">
      <w:pPr>
        <w:spacing w:before="120" w:after="120" w:line="276" w:lineRule="auto"/>
        <w:jc w:val="right"/>
        <w:rPr>
          <w:i/>
          <w:iCs/>
          <w:color w:val="000000" w:themeColor="text1"/>
        </w:rPr>
      </w:pPr>
      <w:r w:rsidRPr="00251FA6">
        <w:rPr>
          <w:i/>
          <w:iCs/>
          <w:color w:val="000000" w:themeColor="text1"/>
        </w:rPr>
        <w:t>Nguồn: VITIC</w:t>
      </w:r>
    </w:p>
    <w:p w14:paraId="7D0E2650" w14:textId="77777777" w:rsidR="00D22019" w:rsidRPr="00D22019" w:rsidRDefault="00D22019" w:rsidP="00251FA6">
      <w:pPr>
        <w:spacing w:before="120" w:after="120" w:line="276" w:lineRule="auto"/>
        <w:jc w:val="both"/>
        <w:rPr>
          <w:color w:val="000000" w:themeColor="text1"/>
          <w:lang w:val="vi-VN"/>
        </w:rPr>
      </w:pPr>
      <w:r>
        <w:br/>
      </w:r>
    </w:p>
    <w:p w14:paraId="22E0CB44" w14:textId="77777777" w:rsidR="00D22019" w:rsidRPr="00D22019" w:rsidRDefault="00D22019" w:rsidP="00251FA6">
      <w:pPr>
        <w:spacing w:before="120" w:after="120" w:line="276" w:lineRule="auto"/>
        <w:rPr>
          <w:b/>
          <w:bCs/>
          <w:i/>
          <w:iCs/>
          <w:lang w:val="vi-VN"/>
        </w:rPr>
      </w:pPr>
    </w:p>
    <w:sectPr w:rsidR="00D22019" w:rsidRPr="00D22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9"/>
    <w:rsid w:val="00155EC2"/>
    <w:rsid w:val="00251FA6"/>
    <w:rsid w:val="00297636"/>
    <w:rsid w:val="00571D9B"/>
    <w:rsid w:val="009A0CDE"/>
    <w:rsid w:val="00A84C3E"/>
    <w:rsid w:val="00D22019"/>
    <w:rsid w:val="00E03F15"/>
    <w:rsid w:val="00E3185E"/>
    <w:rsid w:val="00F25870"/>
    <w:rsid w:val="00FD5635"/>
    <w:rsid w:val="7C347B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2AE2"/>
  <w15:chartTrackingRefBased/>
  <w15:docId w15:val="{01329D3A-C28A-0746-A809-DDA013E8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8"/>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2019"/>
    <w:pPr>
      <w:spacing w:line="319" w:lineRule="auto"/>
      <w:ind w:firstLine="680"/>
      <w:jc w:val="both"/>
    </w:pPr>
    <w:rPr>
      <w:rFonts w:eastAsia="Calibri" w:cs="Times New Roman"/>
      <w:b/>
      <w:bCs/>
      <w:kern w:val="0"/>
      <w:sz w:val="20"/>
      <w:szCs w:val="20"/>
      <w:lang w:eastAsia="en-US"/>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Phan Thao My Chu</cp:lastModifiedBy>
  <cp:revision>7</cp:revision>
  <dcterms:created xsi:type="dcterms:W3CDTF">2025-12-15T09:40:00Z</dcterms:created>
  <dcterms:modified xsi:type="dcterms:W3CDTF">2026-02-10T04:31:00Z</dcterms:modified>
</cp:coreProperties>
</file>